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center"/>
        <w:bidi w:val="1"/>
      </w:pPr>
      <w:r>
        <w:rPr>
          <w:rFonts w:ascii="Arial" w:hAnsi="Arial" w:cs="Arial"/>
          <w:b/>
          <w:color w:val="0B7F9E"/>
          <w:sz w:val="48"/>
        </w:rPr>
        <w:t>نظام الرقابة الداخلية</w:t>
      </w:r>
    </w:p>
    <w:p>
      <w:pPr>
        <w:spacing w:after="320"/>
        <w:jc w:val="center"/>
        <w:bidi w:val="1"/>
      </w:pPr>
      <w:r>
        <w:rPr>
          <w:rFonts w:ascii="Arial" w:hAnsi="Arial" w:cs="Arial"/>
          <w:b/>
          <w:color w:val="A9322D"/>
          <w:sz w:val="28"/>
        </w:rPr>
        <w:t>جمعية البلسم للتدريب والتطوير الصحي</w:t>
      </w:r>
    </w:p>
    <w:p>
      <w:pPr>
        <w:spacing w:after="480"/>
        <w:jc w:val="center"/>
        <w:bidi w:val="1"/>
      </w:pPr>
      <w:r>
        <w:rPr>
          <w:rFonts w:ascii="Arial" w:hAnsi="Arial" w:cs="Arial"/>
          <w:b w:val="0"/>
          <w:sz w:val="22"/>
        </w:rPr>
        <w:t>رقابة مبنية على المخاطر ومسؤولية مشتركة وتحسين مستمر</w:t>
      </w:r>
    </w:p>
    <w:tbl>
      <w:tblPr>
        <w:tblStyle w:val="TableGrid"/>
        <w:tblW w:type="dxa" w:w="8500"/>
        <w:jc w:val="center"/>
        <w:tblLayout w:type="fixed"/>
        <w:tblLook w:firstColumn="1" w:firstRow="1" w:lastColumn="0" w:lastRow="0" w:noHBand="0" w:noVBand="1" w:val="04A0"/>
        <w:tblInd w:w="0" w:type="dxa"/>
        <w:bidiVisual/>
      </w:tblPr>
      <w:tblGrid>
        <w:gridCol w:w="2500"/>
        <w:gridCol w:w="6000"/>
      </w:tblGrid>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رقم الوثيقة</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ن ر د - 01</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رقم الإصدار</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تاريخ الاعتماد</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تاريخ النفاذ</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bl>
    <w:p>
      <w:pPr>
        <w:jc w:val="right"/>
        <w:bidi w:val="1"/>
      </w:pPr>
      <w:r>
        <w:rPr>
          <w:rFonts w:ascii="Arial" w:hAnsi="Arial" w:cs="Arial"/>
        </w:rPr>
        <w:br w:type="page"/>
      </w:r>
    </w:p>
    <w:p>
      <w:pPr>
        <w:pStyle w:val="Heading1"/>
        <w:jc w:val="right"/>
        <w:keepNext/>
        <w:bidi w:val="1"/>
      </w:pPr>
      <w:r>
        <w:rPr>
          <w:rFonts w:ascii="Arial" w:hAnsi="Arial" w:cs="Arial"/>
        </w:rPr>
        <w:t>بيانات ضبط الوثيقة</w:t>
      </w:r>
    </w:p>
    <w:tbl>
      <w:tblPr>
        <w:tblStyle w:val="TableGrid"/>
        <w:tblW w:type="dxa" w:w="8500"/>
        <w:jc w:val="center"/>
        <w:tblLayout w:type="fixed"/>
        <w:tblLook w:firstColumn="1" w:firstRow="1" w:lastColumn="0" w:lastRow="0" w:noHBand="0" w:noVBand="1" w:val="04A0"/>
        <w:tblInd w:w="0" w:type="dxa"/>
        <w:bidiVisual/>
      </w:tblPr>
      <w:tblGrid>
        <w:gridCol w:w="2600"/>
        <w:gridCol w:w="5900"/>
      </w:tblGrid>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مالك الوثيقة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مجلس الإدارة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جهة التنفيذ</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الإدارة التنفيذية وجميع الوحدات التنظيمية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جهة التنسيق</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المكلف بالرقابة أو المراجعة الداخلية وفق قرار مجلس الإدارة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الوثائق الملزمة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سجل المخاطر، خطة المراجعة، مصفوفة الضوابط، سجل الملاحظات والإجراءات التصحيحية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النطاق</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جميع العمليات والبرامج والموارد والأنظمة والفروع والعلاقات ذات الصلة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دورية المراجعة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سنويًا أو عند تغير المخاطر أو الهيكل أو المتطلبات النظامية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درجة الإتاحة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ينشر بيان عام؛ تبقى خطط الاختبار ونقاط الضعف وسجل المخاطر والتقارير التفصيلية داخلية</w:t>
            </w:r>
          </w:p>
        </w:tc>
      </w:tr>
    </w:tbl>
    <w:p>
      <w:pPr>
        <w:pStyle w:val="Heading1"/>
        <w:jc w:val="right"/>
        <w:keepNext/>
        <w:bidi w:val="1"/>
      </w:pPr>
      <w:r>
        <w:rPr>
          <w:rFonts w:ascii="Arial" w:hAnsi="Arial" w:cs="Arial"/>
        </w:rPr>
        <w:t>الفصل الأول: الأحكام العامة</w:t>
      </w:r>
    </w:p>
    <w:p>
      <w:pPr>
        <w:pStyle w:val="Heading2"/>
        <w:jc w:val="right"/>
        <w:keepNext/>
        <w:bidi w:val="1"/>
      </w:pPr>
      <w:r>
        <w:rPr>
          <w:rFonts w:ascii="Arial" w:hAnsi="Arial" w:cs="Arial"/>
        </w:rPr>
        <w:t>المادة (1): المقدمة</w:t>
      </w:r>
    </w:p>
    <w:p>
      <w:pPr>
        <w:spacing w:after="80"/>
        <w:jc w:val="right"/>
        <w:bidi w:val="1"/>
      </w:pPr>
      <w:r>
        <w:rPr>
          <w:rFonts w:ascii="Arial" w:hAnsi="Arial" w:cs="Arial"/>
          <w:b w:val="0"/>
        </w:rPr>
        <w:t>يمثل نظام الرقابة الداخلية مجموعة مترابطة من المسؤوليات والسياسات والإجراءات والضوابط التي يعتمدها مجلس الإدارة وتنفذها الإدارة والعاملون لتوفير تأكيد معقول - لا مطلق - بشأن تحقيق الأهداف، وحماية الأصول، ودقة التقارير، والامتثال، وإدارة المخاطر. والرقابة مسؤولية يومية مشتركة وليست وظيفة جهة المراجعة وحدها.</w:t>
      </w:r>
    </w:p>
    <w:p>
      <w:pPr>
        <w:pStyle w:val="Heading2"/>
        <w:jc w:val="right"/>
        <w:keepNext/>
        <w:bidi w:val="1"/>
      </w:pPr>
      <w:r>
        <w:rPr>
          <w:rFonts w:ascii="Arial" w:hAnsi="Arial" w:cs="Arial"/>
        </w:rPr>
        <w:t>المادة (2): الأهداف</w:t>
      </w:r>
    </w:p>
    <w:p>
      <w:pPr>
        <w:pStyle w:val="ListBullet"/>
        <w:spacing w:after="40"/>
        <w:ind w:left="288" w:right="360"/>
        <w:jc w:val="right"/>
        <w:bidi w:val="1"/>
      </w:pPr>
      <w:r>
        <w:rPr>
          <w:rFonts w:ascii="Arial" w:hAnsi="Arial" w:cs="Arial"/>
          <w:sz w:val="20"/>
        </w:rPr>
        <w:t>حماية أصول الجمعية وأموالها وبياناتها وسمعتها من الخطأ أو الهدر أو الاحتيال أو سوء الاستخدام.</w:t>
      </w:r>
    </w:p>
    <w:p>
      <w:pPr>
        <w:pStyle w:val="ListBullet"/>
        <w:spacing w:after="40"/>
        <w:ind w:left="288" w:right="360"/>
        <w:jc w:val="right"/>
        <w:bidi w:val="1"/>
      </w:pPr>
      <w:r>
        <w:rPr>
          <w:rFonts w:ascii="Arial" w:hAnsi="Arial" w:cs="Arial"/>
          <w:sz w:val="20"/>
        </w:rPr>
        <w:t>رفع كفاءة وفعالية البرامج والعمليات وجودة الخدمات واستمراريتها.</w:t>
      </w:r>
    </w:p>
    <w:p>
      <w:pPr>
        <w:pStyle w:val="ListBullet"/>
        <w:spacing w:after="40"/>
        <w:ind w:left="288" w:right="360"/>
        <w:jc w:val="right"/>
        <w:bidi w:val="1"/>
      </w:pPr>
      <w:r>
        <w:rPr>
          <w:rFonts w:ascii="Arial" w:hAnsi="Arial" w:cs="Arial"/>
          <w:sz w:val="20"/>
        </w:rPr>
        <w:t>توفير معلومات وتقارير مالية وإدارية وتشغيلية صحيحة وفي وقتها.</w:t>
      </w:r>
    </w:p>
    <w:p>
      <w:pPr>
        <w:pStyle w:val="ListBullet"/>
        <w:spacing w:after="40"/>
        <w:ind w:left="288" w:right="360"/>
        <w:jc w:val="right"/>
        <w:bidi w:val="1"/>
      </w:pPr>
      <w:r>
        <w:rPr>
          <w:rFonts w:ascii="Arial" w:hAnsi="Arial" w:cs="Arial"/>
          <w:sz w:val="20"/>
        </w:rPr>
        <w:t>ضمان الامتثال للأنظمة واللوائح واللائحة الأساسية والسياسات والعقود والقيود المانحة.</w:t>
      </w:r>
    </w:p>
    <w:p>
      <w:pPr>
        <w:pStyle w:val="ListBullet"/>
        <w:spacing w:after="40"/>
        <w:ind w:left="288" w:right="360"/>
        <w:jc w:val="right"/>
        <w:bidi w:val="1"/>
      </w:pPr>
      <w:r>
        <w:rPr>
          <w:rFonts w:ascii="Arial" w:hAnsi="Arial" w:cs="Arial"/>
          <w:sz w:val="20"/>
        </w:rPr>
        <w:t>تحديد المخاطر وتقييمها ومعالجتها ومراقبة تغيرها.</w:t>
      </w:r>
    </w:p>
    <w:p>
      <w:pPr>
        <w:pStyle w:val="ListBullet"/>
        <w:spacing w:after="40"/>
        <w:ind w:left="288" w:right="360"/>
        <w:jc w:val="right"/>
        <w:bidi w:val="1"/>
      </w:pPr>
      <w:r>
        <w:rPr>
          <w:rFonts w:ascii="Arial" w:hAnsi="Arial" w:cs="Arial"/>
          <w:sz w:val="20"/>
        </w:rPr>
        <w:t>منع المخالفات واكتشافها مبكرًا والاستجابة لها ومعالجة أسبابها الجذرية.</w:t>
      </w:r>
    </w:p>
    <w:p>
      <w:pPr>
        <w:pStyle w:val="ListBullet"/>
        <w:spacing w:after="40"/>
        <w:ind w:left="288" w:right="360"/>
        <w:jc w:val="right"/>
        <w:bidi w:val="1"/>
      </w:pPr>
      <w:r>
        <w:rPr>
          <w:rFonts w:ascii="Arial" w:hAnsi="Arial" w:cs="Arial"/>
          <w:sz w:val="20"/>
        </w:rPr>
        <w:t>دعم مجلس الإدارة في الإشراف واتخاذ القرار والمساءلة.</w:t>
      </w:r>
    </w:p>
    <w:p>
      <w:pPr>
        <w:pStyle w:val="Heading2"/>
        <w:jc w:val="right"/>
        <w:keepNext/>
        <w:bidi w:val="1"/>
      </w:pPr>
      <w:r>
        <w:rPr>
          <w:rFonts w:ascii="Arial" w:hAnsi="Arial" w:cs="Arial"/>
        </w:rPr>
        <w:t>المادة (3): نطاق التطبيق</w:t>
      </w:r>
    </w:p>
    <w:p>
      <w:pPr>
        <w:spacing w:after="80"/>
        <w:jc w:val="right"/>
        <w:bidi w:val="1"/>
      </w:pPr>
      <w:r>
        <w:rPr>
          <w:rFonts w:ascii="Arial" w:hAnsi="Arial" w:cs="Arial"/>
          <w:b w:val="0"/>
        </w:rPr>
        <w:t>يطبق النظام على مجلس الإدارة والإدارة التنفيذية وجميع الوحدات والعاملين والمتطوعين والمتدربين والمتعاقدين فيما يتعلق بأعمالهم مع الجمعية، وعلى البرامج والخدمات والمشروعات والأصول والبيانات والأنظمة والحسابات والعقود والمشتريات والتبرعات والفروع - إن وجدت.</w:t>
      </w:r>
    </w:p>
    <w:p>
      <w:pPr>
        <w:pStyle w:val="Heading2"/>
        <w:jc w:val="right"/>
        <w:keepNext/>
        <w:bidi w:val="1"/>
      </w:pPr>
      <w:r>
        <w:rPr>
          <w:rFonts w:ascii="Arial" w:hAnsi="Arial" w:cs="Arial"/>
        </w:rPr>
        <w:t>المادة (4): المرجعيات</w:t>
      </w:r>
    </w:p>
    <w:p>
      <w:pPr>
        <w:spacing w:after="80"/>
        <w:jc w:val="right"/>
        <w:bidi w:val="1"/>
      </w:pPr>
      <w:r>
        <w:rPr>
          <w:rFonts w:ascii="Arial" w:hAnsi="Arial" w:cs="Arial"/>
          <w:b w:val="0"/>
        </w:rPr>
        <w:t>يطبق هذا النظام مع الأنظمة واللوائح وقواعد الحوكمة النافذة، واللائحة الأساسية، والدليل الاسترشادي لسياسة الرقابة الداخلية وآليات الإشراف والمتابعة، والسياسة المالية ومصفوفة الصلاحيات والهيكل التنظيمي وسياسات المخاطر والامتثال والخصوصية والإبلاغ وحفظ السجلات والمشتريات والموارد البشرية.</w:t>
      </w:r>
    </w:p>
    <w:p>
      <w:pPr>
        <w:pStyle w:val="Heading2"/>
        <w:jc w:val="right"/>
        <w:keepNext/>
        <w:bidi w:val="1"/>
      </w:pPr>
      <w:r>
        <w:rPr>
          <w:rFonts w:ascii="Arial" w:hAnsi="Arial" w:cs="Arial"/>
        </w:rPr>
        <w:t>المادة (5): المصطلحات</w:t>
      </w:r>
    </w:p>
    <w:tbl>
      <w:tblPr>
        <w:tblStyle w:val="TableGrid"/>
        <w:tblW w:type="dxa" w:w="8500"/>
        <w:jc w:val="center"/>
        <w:tblLayout w:type="fixed"/>
        <w:tblLook w:firstColumn="1" w:firstRow="1" w:lastColumn="0" w:lastRow="0" w:noHBand="0" w:noVBand="1" w:val="04A0"/>
        <w:tblInd w:w="0" w:type="dxa"/>
        <w:bidiVisual/>
      </w:tblPr>
      <w:tblGrid>
        <w:gridCol w:w="2200"/>
        <w:gridCol w:w="6300"/>
      </w:tblGrid>
      <w:tr>
        <w:trPr>
          <w:tblHeader w:val="true"/>
          <w:cantSplit/>
        </w:trPr>
        <w:tc>
          <w:tcPr>
            <w:tcW w:type="dxa" w:w="22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7"/>
              </w:rPr>
              <w:t>المصطلح</w:t>
            </w:r>
          </w:p>
        </w:tc>
        <w:tc>
          <w:tcPr>
            <w:tcW w:type="dxa" w:w="63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7"/>
              </w:rPr>
              <w:t>التعريف</w:t>
            </w:r>
          </w:p>
        </w:tc>
      </w:tr>
      <w:tr>
        <w:trPr>
          <w:cantSplit/>
        </w:trPr>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7"/>
              </w:rPr>
              <w:t>الخطر</w:t>
            </w:r>
          </w:p>
        </w:tc>
        <w:tc>
          <w:tcPr>
            <w:tcW w:type="dxa" w:w="6300"/>
            <w:tcMar>
              <w:top w:w="90" w:type="dxa"/>
              <w:start w:w="110" w:type="dxa"/>
              <w:bottom w:w="90" w:type="dxa"/>
              <w:end w:w="110" w:type="dxa"/>
            </w:tcMar>
            <w:vAlign w:val="center"/>
          </w:tcPr>
          <w:p>
            <w:pPr>
              <w:spacing w:before="40" w:after="40"/>
              <w:jc w:val="right"/>
              <w:bidi w:val="1"/>
            </w:pPr>
            <w:r>
              <w:rPr>
                <w:rFonts w:ascii="Arial" w:hAnsi="Arial" w:cs="Arial"/>
                <w:sz w:val="17"/>
              </w:rPr>
              <w:t>حدث محتمل قد يؤثر سلبًا أو إيجابًا في تحقيق هدف، ويقاس باحتماله وأثره.</w:t>
            </w:r>
          </w:p>
        </w:tc>
      </w:tr>
      <w:tr>
        <w:trPr>
          <w:cantSplit/>
        </w:trPr>
        <w:tc>
          <w:tcPr>
            <w:tcW w:type="dxa" w:w="2200"/>
            <w:shd w:fill="F2F4F5"/>
            <w:tcMar>
              <w:top w:w="90" w:type="dxa"/>
              <w:start w:w="110" w:type="dxa"/>
              <w:bottom w:w="90" w:type="dxa"/>
              <w:end w:w="110" w:type="dxa"/>
            </w:tcMar>
            <w:vAlign w:val="center"/>
          </w:tcPr>
          <w:p>
            <w:pPr>
              <w:spacing w:before="40" w:after="40"/>
              <w:jc w:val="center"/>
              <w:bidi w:val="1"/>
            </w:pPr>
            <w:r>
              <w:rPr>
                <w:rFonts w:ascii="Arial" w:hAnsi="Arial" w:cs="Arial"/>
                <w:sz w:val="17"/>
              </w:rPr>
              <w:t>الضابط</w:t>
            </w:r>
          </w:p>
        </w:tc>
        <w:tc>
          <w:tcPr>
            <w:tcW w:type="dxa" w:w="6300"/>
            <w:shd w:fill="F2F4F5"/>
            <w:tcMar>
              <w:top w:w="90" w:type="dxa"/>
              <w:start w:w="110" w:type="dxa"/>
              <w:bottom w:w="90" w:type="dxa"/>
              <w:end w:w="110" w:type="dxa"/>
            </w:tcMar>
            <w:vAlign w:val="center"/>
          </w:tcPr>
          <w:p>
            <w:pPr>
              <w:spacing w:before="40" w:after="40"/>
              <w:jc w:val="right"/>
              <w:bidi w:val="1"/>
            </w:pPr>
            <w:r>
              <w:rPr>
                <w:rFonts w:ascii="Arial" w:hAnsi="Arial" w:cs="Arial"/>
                <w:sz w:val="17"/>
              </w:rPr>
              <w:t>إجراء وقائي أو كاشف أو تصحيحي يخفض احتمال الخطر أو أثره.</w:t>
            </w:r>
          </w:p>
        </w:tc>
      </w:tr>
      <w:tr>
        <w:trPr>
          <w:cantSplit/>
        </w:trPr>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7"/>
              </w:rPr>
              <w:t>الخطر الكامن</w:t>
            </w:r>
          </w:p>
        </w:tc>
        <w:tc>
          <w:tcPr>
            <w:tcW w:type="dxa" w:w="6300"/>
            <w:tcMar>
              <w:top w:w="90" w:type="dxa"/>
              <w:start w:w="110" w:type="dxa"/>
              <w:bottom w:w="90" w:type="dxa"/>
              <w:end w:w="110" w:type="dxa"/>
            </w:tcMar>
            <w:vAlign w:val="center"/>
          </w:tcPr>
          <w:p>
            <w:pPr>
              <w:spacing w:before="40" w:after="40"/>
              <w:jc w:val="right"/>
              <w:bidi w:val="1"/>
            </w:pPr>
            <w:r>
              <w:rPr>
                <w:rFonts w:ascii="Arial" w:hAnsi="Arial" w:cs="Arial"/>
                <w:sz w:val="17"/>
              </w:rPr>
              <w:t>مستوى الخطر قبل تطبيق الضوابط.</w:t>
            </w:r>
          </w:p>
        </w:tc>
      </w:tr>
      <w:tr>
        <w:trPr>
          <w:cantSplit/>
        </w:trPr>
        <w:tc>
          <w:tcPr>
            <w:tcW w:type="dxa" w:w="2200"/>
            <w:shd w:fill="F2F4F5"/>
            <w:tcMar>
              <w:top w:w="90" w:type="dxa"/>
              <w:start w:w="110" w:type="dxa"/>
              <w:bottom w:w="90" w:type="dxa"/>
              <w:end w:w="110" w:type="dxa"/>
            </w:tcMar>
            <w:vAlign w:val="center"/>
          </w:tcPr>
          <w:p>
            <w:pPr>
              <w:spacing w:before="40" w:after="40"/>
              <w:jc w:val="center"/>
              <w:bidi w:val="1"/>
            </w:pPr>
            <w:r>
              <w:rPr>
                <w:rFonts w:ascii="Arial" w:hAnsi="Arial" w:cs="Arial"/>
                <w:sz w:val="17"/>
              </w:rPr>
              <w:t>الخطر المتبقي</w:t>
            </w:r>
          </w:p>
        </w:tc>
        <w:tc>
          <w:tcPr>
            <w:tcW w:type="dxa" w:w="6300"/>
            <w:shd w:fill="F2F4F5"/>
            <w:tcMar>
              <w:top w:w="90" w:type="dxa"/>
              <w:start w:w="110" w:type="dxa"/>
              <w:bottom w:w="90" w:type="dxa"/>
              <w:end w:w="110" w:type="dxa"/>
            </w:tcMar>
            <w:vAlign w:val="center"/>
          </w:tcPr>
          <w:p>
            <w:pPr>
              <w:spacing w:before="40" w:after="40"/>
              <w:jc w:val="right"/>
              <w:bidi w:val="1"/>
            </w:pPr>
            <w:r>
              <w:rPr>
                <w:rFonts w:ascii="Arial" w:hAnsi="Arial" w:cs="Arial"/>
                <w:sz w:val="17"/>
              </w:rPr>
              <w:t>مستوى الخطر بعد أخذ فعالية الضوابط في الاعتبار.</w:t>
            </w:r>
          </w:p>
        </w:tc>
      </w:tr>
      <w:tr>
        <w:trPr>
          <w:cantSplit/>
        </w:trPr>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7"/>
              </w:rPr>
              <w:t>مالك الخطر</w:t>
            </w:r>
          </w:p>
        </w:tc>
        <w:tc>
          <w:tcPr>
            <w:tcW w:type="dxa" w:w="6300"/>
            <w:tcMar>
              <w:top w:w="90" w:type="dxa"/>
              <w:start w:w="110" w:type="dxa"/>
              <w:bottom w:w="90" w:type="dxa"/>
              <w:end w:w="110" w:type="dxa"/>
            </w:tcMar>
            <w:vAlign w:val="center"/>
          </w:tcPr>
          <w:p>
            <w:pPr>
              <w:spacing w:before="40" w:after="40"/>
              <w:jc w:val="right"/>
              <w:bidi w:val="1"/>
            </w:pPr>
            <w:r>
              <w:rPr>
                <w:rFonts w:ascii="Arial" w:hAnsi="Arial" w:cs="Arial"/>
                <w:sz w:val="17"/>
              </w:rPr>
              <w:t>المسؤول عن متابعة الخطر وخطة معالجته ومؤشراته.</w:t>
            </w:r>
          </w:p>
        </w:tc>
      </w:tr>
      <w:tr>
        <w:trPr>
          <w:cantSplit/>
        </w:trPr>
        <w:tc>
          <w:tcPr>
            <w:tcW w:type="dxa" w:w="2200"/>
            <w:shd w:fill="F2F4F5"/>
            <w:tcMar>
              <w:top w:w="90" w:type="dxa"/>
              <w:start w:w="110" w:type="dxa"/>
              <w:bottom w:w="90" w:type="dxa"/>
              <w:end w:w="110" w:type="dxa"/>
            </w:tcMar>
            <w:vAlign w:val="center"/>
          </w:tcPr>
          <w:p>
            <w:pPr>
              <w:spacing w:before="40" w:after="40"/>
              <w:jc w:val="center"/>
              <w:bidi w:val="1"/>
            </w:pPr>
            <w:r>
              <w:rPr>
                <w:rFonts w:ascii="Arial" w:hAnsi="Arial" w:cs="Arial"/>
                <w:sz w:val="17"/>
              </w:rPr>
              <w:t>المراجعة الداخلية</w:t>
            </w:r>
          </w:p>
        </w:tc>
        <w:tc>
          <w:tcPr>
            <w:tcW w:type="dxa" w:w="6300"/>
            <w:shd w:fill="F2F4F5"/>
            <w:tcMar>
              <w:top w:w="90" w:type="dxa"/>
              <w:start w:w="110" w:type="dxa"/>
              <w:bottom w:w="90" w:type="dxa"/>
              <w:end w:w="110" w:type="dxa"/>
            </w:tcMar>
            <w:vAlign w:val="center"/>
          </w:tcPr>
          <w:p>
            <w:pPr>
              <w:spacing w:before="40" w:after="40"/>
              <w:jc w:val="right"/>
              <w:bidi w:val="1"/>
            </w:pPr>
            <w:r>
              <w:rPr>
                <w:rFonts w:ascii="Arial" w:hAnsi="Arial" w:cs="Arial"/>
                <w:sz w:val="17"/>
              </w:rPr>
              <w:t>نشاط مستقل نسبيًا يقدم تأكيدًا ومشورة بشأن الحوكمة والمخاطر والضوابط دون تولي التنفيذ.</w:t>
            </w:r>
          </w:p>
        </w:tc>
      </w:tr>
      <w:tr>
        <w:trPr>
          <w:cantSplit/>
        </w:trPr>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7"/>
              </w:rPr>
              <w:t>الملاحظة</w:t>
            </w:r>
          </w:p>
        </w:tc>
        <w:tc>
          <w:tcPr>
            <w:tcW w:type="dxa" w:w="6300"/>
            <w:tcMar>
              <w:top w:w="90" w:type="dxa"/>
              <w:start w:w="110" w:type="dxa"/>
              <w:bottom w:w="90" w:type="dxa"/>
              <w:end w:w="110" w:type="dxa"/>
            </w:tcMar>
            <w:vAlign w:val="center"/>
          </w:tcPr>
          <w:p>
            <w:pPr>
              <w:spacing w:before="40" w:after="40"/>
              <w:jc w:val="right"/>
              <w:bidi w:val="1"/>
            </w:pPr>
            <w:r>
              <w:rPr>
                <w:rFonts w:ascii="Arial" w:hAnsi="Arial" w:cs="Arial"/>
                <w:sz w:val="17"/>
              </w:rPr>
              <w:t>فجوة مثبتة بين الوضع الفعلي والمعيار أو الضابط المطلوب.</w:t>
            </w:r>
          </w:p>
        </w:tc>
      </w:tr>
      <w:tr>
        <w:trPr>
          <w:cantSplit/>
        </w:trPr>
        <w:tc>
          <w:tcPr>
            <w:tcW w:type="dxa" w:w="2200"/>
            <w:shd w:fill="F2F4F5"/>
            <w:tcMar>
              <w:top w:w="90" w:type="dxa"/>
              <w:start w:w="110" w:type="dxa"/>
              <w:bottom w:w="90" w:type="dxa"/>
              <w:end w:w="110" w:type="dxa"/>
            </w:tcMar>
            <w:vAlign w:val="center"/>
          </w:tcPr>
          <w:p>
            <w:pPr>
              <w:spacing w:before="40" w:after="40"/>
              <w:jc w:val="center"/>
              <w:bidi w:val="1"/>
            </w:pPr>
            <w:r>
              <w:rPr>
                <w:rFonts w:ascii="Arial" w:hAnsi="Arial" w:cs="Arial"/>
                <w:sz w:val="17"/>
              </w:rPr>
              <w:t>الإجراء التصحيحي</w:t>
            </w:r>
          </w:p>
        </w:tc>
        <w:tc>
          <w:tcPr>
            <w:tcW w:type="dxa" w:w="6300"/>
            <w:shd w:fill="F2F4F5"/>
            <w:tcMar>
              <w:top w:w="90" w:type="dxa"/>
              <w:start w:w="110" w:type="dxa"/>
              <w:bottom w:w="90" w:type="dxa"/>
              <w:end w:w="110" w:type="dxa"/>
            </w:tcMar>
            <w:vAlign w:val="center"/>
          </w:tcPr>
          <w:p>
            <w:pPr>
              <w:spacing w:before="40" w:after="40"/>
              <w:jc w:val="right"/>
              <w:bidi w:val="1"/>
            </w:pPr>
            <w:r>
              <w:rPr>
                <w:rFonts w:ascii="Arial" w:hAnsi="Arial" w:cs="Arial"/>
                <w:sz w:val="17"/>
              </w:rPr>
              <w:t>عمل محدد لمعالجة سبب الملاحظة أو خفض الخطر مع مسؤول وموعد ودليل إغلاق.</w:t>
            </w:r>
          </w:p>
        </w:tc>
      </w:tr>
      <w:tr>
        <w:trPr>
          <w:cantSplit/>
        </w:trPr>
        <w:tc>
          <w:tcPr>
            <w:tcW w:type="dxa" w:w="2200"/>
            <w:tcMar>
              <w:top w:w="90" w:type="dxa"/>
              <w:start w:w="110" w:type="dxa"/>
              <w:bottom w:w="90" w:type="dxa"/>
              <w:end w:w="110" w:type="dxa"/>
            </w:tcMar>
            <w:vAlign w:val="center"/>
          </w:tcPr>
          <w:p>
            <w:pPr>
              <w:spacing w:before="40" w:after="40"/>
              <w:jc w:val="center"/>
              <w:bidi w:val="1"/>
            </w:pPr>
            <w:r>
              <w:rPr>
                <w:rFonts w:ascii="Arial" w:hAnsi="Arial" w:cs="Arial"/>
                <w:sz w:val="17"/>
              </w:rPr>
              <w:t>الاستثناء</w:t>
            </w:r>
          </w:p>
        </w:tc>
        <w:tc>
          <w:tcPr>
            <w:tcW w:type="dxa" w:w="6300"/>
            <w:tcMar>
              <w:top w:w="90" w:type="dxa"/>
              <w:start w:w="110" w:type="dxa"/>
              <w:bottom w:w="90" w:type="dxa"/>
              <w:end w:w="110" w:type="dxa"/>
            </w:tcMar>
            <w:vAlign w:val="center"/>
          </w:tcPr>
          <w:p>
            <w:pPr>
              <w:spacing w:before="40" w:after="40"/>
              <w:jc w:val="right"/>
              <w:bidi w:val="1"/>
            </w:pPr>
            <w:r>
              <w:rPr>
                <w:rFonts w:ascii="Arial" w:hAnsi="Arial" w:cs="Arial"/>
                <w:sz w:val="17"/>
              </w:rPr>
              <w:t>تجاوز مصرح ومؤقت لضابط، مع مبرر واعتماد وضابط تعويضي.</w:t>
            </w:r>
          </w:p>
        </w:tc>
      </w:tr>
    </w:tbl>
    <w:p>
      <w:pPr>
        <w:pStyle w:val="Heading1"/>
        <w:jc w:val="right"/>
        <w:keepNext/>
        <w:bidi w:val="1"/>
      </w:pPr>
      <w:r>
        <w:rPr>
          <w:rFonts w:ascii="Arial" w:hAnsi="Arial" w:cs="Arial"/>
        </w:rPr>
        <w:t>الفصل الثاني: الحوكمة والمسؤوليات</w:t>
      </w:r>
    </w:p>
    <w:p>
      <w:pPr>
        <w:pStyle w:val="Heading2"/>
        <w:jc w:val="right"/>
        <w:keepNext/>
        <w:bidi w:val="1"/>
      </w:pPr>
      <w:r>
        <w:rPr>
          <w:rFonts w:ascii="Arial" w:hAnsi="Arial" w:cs="Arial"/>
        </w:rPr>
        <w:t>المادة (6): مجلس الإدارة</w:t>
      </w:r>
    </w:p>
    <w:p>
      <w:pPr>
        <w:pStyle w:val="ListBullet"/>
        <w:spacing w:after="40"/>
        <w:ind w:left="288" w:right="360"/>
        <w:jc w:val="right"/>
        <w:bidi w:val="1"/>
      </w:pPr>
      <w:r>
        <w:rPr>
          <w:rFonts w:ascii="Arial" w:hAnsi="Arial" w:cs="Arial"/>
          <w:sz w:val="20"/>
        </w:rPr>
        <w:t>اعتماد نظام الرقابة الداخلية وشهية المخاطر العامة وخطة المراجعة والتغييرات الجوهرية.</w:t>
      </w:r>
    </w:p>
    <w:p>
      <w:pPr>
        <w:pStyle w:val="ListBullet"/>
        <w:spacing w:after="40"/>
        <w:ind w:left="288" w:right="360"/>
        <w:jc w:val="right"/>
        <w:bidi w:val="1"/>
      </w:pPr>
      <w:r>
        <w:rPr>
          <w:rFonts w:ascii="Arial" w:hAnsi="Arial" w:cs="Arial"/>
          <w:sz w:val="20"/>
        </w:rPr>
        <w:t>التأكد من وجود سجل مخاطر محدث وضوابط مناسبة وتقارير دورية عن المخاطر والملاحظات.</w:t>
      </w:r>
    </w:p>
    <w:p>
      <w:pPr>
        <w:pStyle w:val="ListBullet"/>
        <w:spacing w:after="40"/>
        <w:ind w:left="288" w:right="360"/>
        <w:jc w:val="right"/>
        <w:bidi w:val="1"/>
      </w:pPr>
      <w:r>
        <w:rPr>
          <w:rFonts w:ascii="Arial" w:hAnsi="Arial" w:cs="Arial"/>
          <w:sz w:val="20"/>
        </w:rPr>
        <w:t>دعم استقلال المراجعة الداخلية وتوفير الموارد والوصول غير المقيد للسجلات والأشخاص.</w:t>
      </w:r>
    </w:p>
    <w:p>
      <w:pPr>
        <w:pStyle w:val="ListBullet"/>
        <w:spacing w:after="40"/>
        <w:ind w:left="288" w:right="360"/>
        <w:jc w:val="right"/>
        <w:bidi w:val="1"/>
      </w:pPr>
      <w:r>
        <w:rPr>
          <w:rFonts w:ascii="Arial" w:hAnsi="Arial" w:cs="Arial"/>
          <w:sz w:val="20"/>
        </w:rPr>
        <w:t>مراجعة التقارير الرقابية والمخالفات الجوهرية وخطط المعالجة والتأخير وقبول المخاطر العالية.</w:t>
      </w:r>
    </w:p>
    <w:p>
      <w:pPr>
        <w:pStyle w:val="ListBullet"/>
        <w:spacing w:after="40"/>
        <w:ind w:left="288" w:right="360"/>
        <w:jc w:val="right"/>
        <w:bidi w:val="1"/>
      </w:pPr>
      <w:r>
        <w:rPr>
          <w:rFonts w:ascii="Arial" w:hAnsi="Arial" w:cs="Arial"/>
          <w:sz w:val="20"/>
        </w:rPr>
        <w:t>التأكد من معالجة تعارض المصالح وعدم مشاركة من له تعارض في القرار أو التحقق.</w:t>
      </w:r>
    </w:p>
    <w:p>
      <w:pPr>
        <w:pStyle w:val="ListBullet"/>
        <w:spacing w:after="40"/>
        <w:ind w:left="288" w:right="360"/>
        <w:jc w:val="right"/>
        <w:bidi w:val="1"/>
      </w:pPr>
      <w:r>
        <w:rPr>
          <w:rFonts w:ascii="Arial" w:hAnsi="Arial" w:cs="Arial"/>
          <w:sz w:val="20"/>
        </w:rPr>
        <w:t>متابعة أداء الإدارة التنفيذية دون التدخل في أعمال المراجعة أو إخفاء النتائج.</w:t>
      </w:r>
    </w:p>
    <w:p>
      <w:pPr>
        <w:pStyle w:val="ListBullet"/>
        <w:spacing w:after="40"/>
        <w:ind w:left="288" w:right="360"/>
        <w:jc w:val="right"/>
        <w:bidi w:val="1"/>
      </w:pPr>
      <w:r>
        <w:rPr>
          <w:rFonts w:ascii="Arial" w:hAnsi="Arial" w:cs="Arial"/>
          <w:sz w:val="20"/>
        </w:rPr>
        <w:t>عدم إنشاء لجنة رقابية أو تدقيق إلا بقرار تشكيل يحدد اختصاصها ومدتها وعضويتها وتقاريرها.</w:t>
      </w:r>
    </w:p>
    <w:p>
      <w:pPr>
        <w:pStyle w:val="Heading2"/>
        <w:jc w:val="right"/>
        <w:keepNext/>
        <w:bidi w:val="1"/>
      </w:pPr>
      <w:r>
        <w:rPr>
          <w:rFonts w:ascii="Arial" w:hAnsi="Arial" w:cs="Arial"/>
        </w:rPr>
        <w:t>المادة (7): الإدارة التنفيذية</w:t>
      </w:r>
    </w:p>
    <w:p>
      <w:pPr>
        <w:pStyle w:val="ListBullet"/>
        <w:spacing w:after="40"/>
        <w:ind w:left="288" w:right="360"/>
        <w:jc w:val="right"/>
        <w:bidi w:val="1"/>
      </w:pPr>
      <w:r>
        <w:rPr>
          <w:rFonts w:ascii="Arial" w:hAnsi="Arial" w:cs="Arial"/>
          <w:sz w:val="20"/>
        </w:rPr>
        <w:t>إنشاء بيئة رقابية سليمة وتطبيق النظام وتوزيع المسؤوليات وتوفير الموارد.</w:t>
      </w:r>
    </w:p>
    <w:p>
      <w:pPr>
        <w:pStyle w:val="ListBullet"/>
        <w:spacing w:after="40"/>
        <w:ind w:left="288" w:right="360"/>
        <w:jc w:val="right"/>
        <w:bidi w:val="1"/>
      </w:pPr>
      <w:r>
        <w:rPr>
          <w:rFonts w:ascii="Arial" w:hAnsi="Arial" w:cs="Arial"/>
          <w:sz w:val="20"/>
        </w:rPr>
        <w:t>دمج إدارة المخاطر والضوابط في الخطط والعمليات والتغييرات والمشروعات.</w:t>
      </w:r>
    </w:p>
    <w:p>
      <w:pPr>
        <w:pStyle w:val="ListBullet"/>
        <w:spacing w:after="40"/>
        <w:ind w:left="288" w:right="360"/>
        <w:jc w:val="right"/>
        <w:bidi w:val="1"/>
      </w:pPr>
      <w:r>
        <w:rPr>
          <w:rFonts w:ascii="Arial" w:hAnsi="Arial" w:cs="Arial"/>
          <w:sz w:val="20"/>
        </w:rPr>
        <w:t>إعداد تقارير صادقة وكاملة لمجلس الإدارة وعدم إخفاء ملاحظة أو تأخير جوهري.</w:t>
      </w:r>
    </w:p>
    <w:p>
      <w:pPr>
        <w:pStyle w:val="ListBullet"/>
        <w:spacing w:after="40"/>
        <w:ind w:left="288" w:right="360"/>
        <w:jc w:val="right"/>
        <w:bidi w:val="1"/>
      </w:pPr>
      <w:r>
        <w:rPr>
          <w:rFonts w:ascii="Arial" w:hAnsi="Arial" w:cs="Arial"/>
          <w:sz w:val="20"/>
        </w:rPr>
        <w:t>اعتماد الإجراءات التشغيلية وتطبيق الفصل بين المهام والضوابط التعويضية عند محدودية الموارد.</w:t>
      </w:r>
    </w:p>
    <w:p>
      <w:pPr>
        <w:pStyle w:val="ListBullet"/>
        <w:spacing w:after="40"/>
        <w:ind w:left="288" w:right="360"/>
        <w:jc w:val="right"/>
        <w:bidi w:val="1"/>
      </w:pPr>
      <w:r>
        <w:rPr>
          <w:rFonts w:ascii="Arial" w:hAnsi="Arial" w:cs="Arial"/>
          <w:sz w:val="20"/>
        </w:rPr>
        <w:t>تنفيذ الإجراءات التصحيحية ومساءلة مالكيها وتصعيد التعثر.</w:t>
      </w:r>
    </w:p>
    <w:p>
      <w:pPr>
        <w:pStyle w:val="ListBullet"/>
        <w:spacing w:after="40"/>
        <w:ind w:left="288" w:right="360"/>
        <w:jc w:val="right"/>
        <w:bidi w:val="1"/>
      </w:pPr>
      <w:r>
        <w:rPr>
          <w:rFonts w:ascii="Arial" w:hAnsi="Arial" w:cs="Arial"/>
          <w:sz w:val="20"/>
        </w:rPr>
        <w:t>إبلاغ المجلس فورًا عن حادث أو احتيال أو تعطل أو خطر مرتفع يتجاوز القدرة أو الصلاحية.</w:t>
      </w:r>
    </w:p>
    <w:p>
      <w:pPr>
        <w:pStyle w:val="Heading2"/>
        <w:jc w:val="right"/>
        <w:keepNext/>
        <w:bidi w:val="1"/>
      </w:pPr>
      <w:r>
        <w:rPr>
          <w:rFonts w:ascii="Arial" w:hAnsi="Arial" w:cs="Arial"/>
        </w:rPr>
        <w:t>المادة (8): إدارة الخدمات المساندة والوحدات التابعة</w:t>
      </w:r>
    </w:p>
    <w:p>
      <w:pPr>
        <w:spacing w:after="80"/>
        <w:jc w:val="right"/>
        <w:bidi w:val="1"/>
      </w:pPr>
      <w:r>
        <w:rPr>
          <w:rFonts w:ascii="Arial" w:hAnsi="Arial" w:cs="Arial"/>
          <w:b w:val="0"/>
        </w:rPr>
        <w:t>تنسق إدارة الخدمات المساندة الرقابة في الوحدات الأربع التابعة لها: الموارد البشرية، والمالية، والمشتريات، والدعم الإداري، دون إنشاء مستويات أو رؤساء غير موجودين في الهيكل. وتلتزم كل وحدة بتوثيق إجراءاتها ومخاطرها وضوابطها وسجلاتها وتعارضات المهام، ورفع الاستثناءات والملاحظات للإدارة التنفيذية.</w:t>
      </w:r>
    </w:p>
    <w:p>
      <w:pPr>
        <w:pStyle w:val="Heading2"/>
        <w:jc w:val="right"/>
        <w:keepNext/>
        <w:bidi w:val="1"/>
      </w:pPr>
      <w:r>
        <w:rPr>
          <w:rFonts w:ascii="Arial" w:hAnsi="Arial" w:cs="Arial"/>
        </w:rPr>
        <w:t>المادة (9): مسؤولو الوحدات ومالكو العمليات</w:t>
      </w:r>
    </w:p>
    <w:p>
      <w:pPr>
        <w:pStyle w:val="ListBullet"/>
        <w:spacing w:after="40"/>
        <w:ind w:left="288" w:right="360"/>
        <w:jc w:val="right"/>
        <w:bidi w:val="1"/>
      </w:pPr>
      <w:r>
        <w:rPr>
          <w:rFonts w:ascii="Arial" w:hAnsi="Arial" w:cs="Arial"/>
          <w:sz w:val="20"/>
        </w:rPr>
        <w:t>تحديد أهداف العملية ومخاطرها وضوابطها ومؤشراتها وتحديثها عند التغير.</w:t>
      </w:r>
    </w:p>
    <w:p>
      <w:pPr>
        <w:pStyle w:val="ListBullet"/>
        <w:spacing w:after="40"/>
        <w:ind w:left="288" w:right="360"/>
        <w:jc w:val="right"/>
        <w:bidi w:val="1"/>
      </w:pPr>
      <w:r>
        <w:rPr>
          <w:rFonts w:ascii="Arial" w:hAnsi="Arial" w:cs="Arial"/>
          <w:sz w:val="20"/>
        </w:rPr>
        <w:t>تنفيذ الرقابة الإشرافية ومراجعة الأدلة والاستثناءات والانحرافات.</w:t>
      </w:r>
    </w:p>
    <w:p>
      <w:pPr>
        <w:pStyle w:val="ListBullet"/>
        <w:spacing w:after="40"/>
        <w:ind w:left="288" w:right="360"/>
        <w:jc w:val="right"/>
        <w:bidi w:val="1"/>
      </w:pPr>
      <w:r>
        <w:rPr>
          <w:rFonts w:ascii="Arial" w:hAnsi="Arial" w:cs="Arial"/>
          <w:sz w:val="20"/>
        </w:rPr>
        <w:t>تأكيد صلاحيات العاملين وحاجتهم الفعلية للوصول والاعتماد.</w:t>
      </w:r>
    </w:p>
    <w:p>
      <w:pPr>
        <w:pStyle w:val="ListBullet"/>
        <w:spacing w:after="40"/>
        <w:ind w:left="288" w:right="360"/>
        <w:jc w:val="right"/>
        <w:bidi w:val="1"/>
      </w:pPr>
      <w:r>
        <w:rPr>
          <w:rFonts w:ascii="Arial" w:hAnsi="Arial" w:cs="Arial"/>
          <w:sz w:val="20"/>
        </w:rPr>
        <w:t>الإفصاح عن أوجه القصور والحوادث وعدم انتظار المراجعة لاكتشافها.</w:t>
      </w:r>
    </w:p>
    <w:p>
      <w:pPr>
        <w:pStyle w:val="ListBullet"/>
        <w:spacing w:after="40"/>
        <w:ind w:left="288" w:right="360"/>
        <w:jc w:val="right"/>
        <w:bidi w:val="1"/>
      </w:pPr>
      <w:r>
        <w:rPr>
          <w:rFonts w:ascii="Arial" w:hAnsi="Arial" w:cs="Arial"/>
          <w:sz w:val="20"/>
        </w:rPr>
        <w:t>إعداد خطة معالجة واقعية وتوفير دليل الإغلاق وقياس الفعالية.</w:t>
      </w:r>
    </w:p>
    <w:p>
      <w:pPr>
        <w:pStyle w:val="Heading2"/>
        <w:jc w:val="right"/>
        <w:keepNext/>
        <w:bidi w:val="1"/>
      </w:pPr>
      <w:r>
        <w:rPr>
          <w:rFonts w:ascii="Arial" w:hAnsi="Arial" w:cs="Arial"/>
        </w:rPr>
        <w:t>المادة (10): العاملون والمتطوعون والمتعاقدون</w:t>
      </w:r>
    </w:p>
    <w:p>
      <w:pPr>
        <w:pStyle w:val="ListBullet"/>
        <w:spacing w:after="40"/>
        <w:ind w:left="288" w:right="360"/>
        <w:jc w:val="right"/>
        <w:bidi w:val="1"/>
      </w:pPr>
      <w:r>
        <w:rPr>
          <w:rFonts w:ascii="Arial" w:hAnsi="Arial" w:cs="Arial"/>
          <w:sz w:val="20"/>
        </w:rPr>
        <w:t>الالتزام بالسياسات والصلاحيات والتعليمات والتدريب المعتمد.</w:t>
      </w:r>
    </w:p>
    <w:p>
      <w:pPr>
        <w:pStyle w:val="ListBullet"/>
        <w:spacing w:after="40"/>
        <w:ind w:left="288" w:right="360"/>
        <w:jc w:val="right"/>
        <w:bidi w:val="1"/>
      </w:pPr>
      <w:r>
        <w:rPr>
          <w:rFonts w:ascii="Arial" w:hAnsi="Arial" w:cs="Arial"/>
          <w:sz w:val="20"/>
        </w:rPr>
        <w:t>حماية الأصول والبيانات والحسابات وعدم مشاركة كلمات المرور أو الصلاحيات.</w:t>
      </w:r>
    </w:p>
    <w:p>
      <w:pPr>
        <w:pStyle w:val="ListBullet"/>
        <w:spacing w:after="40"/>
        <w:ind w:left="288" w:right="360"/>
        <w:jc w:val="right"/>
        <w:bidi w:val="1"/>
      </w:pPr>
      <w:r>
        <w:rPr>
          <w:rFonts w:ascii="Arial" w:hAnsi="Arial" w:cs="Arial"/>
          <w:sz w:val="20"/>
        </w:rPr>
        <w:t>توثيق الأعمال وعدم إنشاء مستند مضلل أو إخفاء خطأ أو تجاوز.</w:t>
      </w:r>
    </w:p>
    <w:p>
      <w:pPr>
        <w:pStyle w:val="ListBullet"/>
        <w:spacing w:after="40"/>
        <w:ind w:left="288" w:right="360"/>
        <w:jc w:val="right"/>
        <w:bidi w:val="1"/>
      </w:pPr>
      <w:r>
        <w:rPr>
          <w:rFonts w:ascii="Arial" w:hAnsi="Arial" w:cs="Arial"/>
          <w:sz w:val="20"/>
        </w:rPr>
        <w:t>الإبلاغ بحسن نية عن المخاطر والمخالفات والحوادث والتعاون مع التحقق.</w:t>
      </w:r>
    </w:p>
    <w:p>
      <w:pPr>
        <w:pStyle w:val="ListBullet"/>
        <w:spacing w:after="40"/>
        <w:ind w:left="288" w:right="360"/>
        <w:jc w:val="right"/>
        <w:bidi w:val="1"/>
      </w:pPr>
      <w:r>
        <w:rPr>
          <w:rFonts w:ascii="Arial" w:hAnsi="Arial" w:cs="Arial"/>
          <w:sz w:val="20"/>
        </w:rPr>
        <w:t>عدم تعطيل أو التحايل على الضابط، وطلب المشورة عند تعذر التطبيق.</w:t>
      </w:r>
    </w:p>
    <w:p>
      <w:pPr>
        <w:pStyle w:val="Heading2"/>
        <w:jc w:val="right"/>
        <w:keepNext/>
        <w:bidi w:val="1"/>
      </w:pPr>
      <w:r>
        <w:rPr>
          <w:rFonts w:ascii="Arial" w:hAnsi="Arial" w:cs="Arial"/>
        </w:rPr>
        <w:t>المادة (11): المراجعة الداخلية</w:t>
      </w:r>
    </w:p>
    <w:p>
      <w:pPr>
        <w:pStyle w:val="ListBullet"/>
        <w:spacing w:after="40"/>
        <w:ind w:left="288" w:right="360"/>
        <w:jc w:val="right"/>
        <w:bidi w:val="1"/>
      </w:pPr>
      <w:r>
        <w:rPr>
          <w:rFonts w:ascii="Arial" w:hAnsi="Arial" w:cs="Arial"/>
          <w:sz w:val="20"/>
        </w:rPr>
        <w:t>إعداد تقييم مخاطر المراجعة وخطة سنوية ورفعها لمجلس الإدارة للاعتماد.</w:t>
      </w:r>
    </w:p>
    <w:p>
      <w:pPr>
        <w:pStyle w:val="ListBullet"/>
        <w:spacing w:after="40"/>
        <w:ind w:left="288" w:right="360"/>
        <w:jc w:val="right"/>
        <w:bidi w:val="1"/>
      </w:pPr>
      <w:r>
        <w:rPr>
          <w:rFonts w:ascii="Arial" w:hAnsi="Arial" w:cs="Arial"/>
          <w:sz w:val="20"/>
        </w:rPr>
        <w:t>تنفيذ مهام تأكيد مستقلة نسبيًا وتوثيق النطاق والعينة والأدلة والنتيجة.</w:t>
      </w:r>
    </w:p>
    <w:p>
      <w:pPr>
        <w:pStyle w:val="ListBullet"/>
        <w:spacing w:after="40"/>
        <w:ind w:left="288" w:right="360"/>
        <w:jc w:val="right"/>
        <w:bidi w:val="1"/>
      </w:pPr>
      <w:r>
        <w:rPr>
          <w:rFonts w:ascii="Arial" w:hAnsi="Arial" w:cs="Arial"/>
          <w:sz w:val="20"/>
        </w:rPr>
        <w:t>تقييم تصميم الضوابط وتشغيلها ومصداقية التقارير والالتزام.</w:t>
      </w:r>
    </w:p>
    <w:p>
      <w:pPr>
        <w:pStyle w:val="ListBullet"/>
        <w:spacing w:after="40"/>
        <w:ind w:left="288" w:right="360"/>
        <w:jc w:val="right"/>
        <w:bidi w:val="1"/>
      </w:pPr>
      <w:r>
        <w:rPr>
          <w:rFonts w:ascii="Arial" w:hAnsi="Arial" w:cs="Arial"/>
          <w:sz w:val="20"/>
        </w:rPr>
        <w:t>إصدار تقارير واضحة بدرجات للملاحظات وأسبابها وأثرها وتوصياتها.</w:t>
      </w:r>
    </w:p>
    <w:p>
      <w:pPr>
        <w:pStyle w:val="ListBullet"/>
        <w:spacing w:after="40"/>
        <w:ind w:left="288" w:right="360"/>
        <w:jc w:val="right"/>
        <w:bidi w:val="1"/>
      </w:pPr>
      <w:r>
        <w:rPr>
          <w:rFonts w:ascii="Arial" w:hAnsi="Arial" w:cs="Arial"/>
          <w:sz w:val="20"/>
        </w:rPr>
        <w:t>متابعة الإجراءات وإعادة الاختبار قبل الإغلاق ورفع التأخر للمجلس.</w:t>
      </w:r>
    </w:p>
    <w:p>
      <w:pPr>
        <w:pStyle w:val="ListBullet"/>
        <w:spacing w:after="40"/>
        <w:ind w:left="288" w:right="360"/>
        <w:jc w:val="right"/>
        <w:bidi w:val="1"/>
      </w:pPr>
      <w:r>
        <w:rPr>
          <w:rFonts w:ascii="Arial" w:hAnsi="Arial" w:cs="Arial"/>
          <w:sz w:val="20"/>
        </w:rPr>
        <w:t>الحفاظ على السرية والموضوعية والإفصاح عن أي تعارض أو قيد على النطاق.</w:t>
      </w:r>
    </w:p>
    <w:p>
      <w:pPr>
        <w:pStyle w:val="ListBullet"/>
        <w:spacing w:after="40"/>
        <w:ind w:left="288" w:right="360"/>
        <w:jc w:val="right"/>
        <w:bidi w:val="1"/>
      </w:pPr>
      <w:r>
        <w:rPr>
          <w:rFonts w:ascii="Arial" w:hAnsi="Arial" w:cs="Arial"/>
          <w:sz w:val="20"/>
        </w:rPr>
        <w:t>عدم تصميم الضابط أو تشغيله ثم تقديم تأكيد مستقل عليه دون ترتيبات تحفظ الموضوعية.</w:t>
      </w:r>
    </w:p>
    <w:p>
      <w:pPr>
        <w:pStyle w:val="Heading1"/>
        <w:jc w:val="right"/>
        <w:keepNext/>
        <w:bidi w:val="1"/>
      </w:pPr>
      <w:r>
        <w:rPr>
          <w:rFonts w:ascii="Arial" w:hAnsi="Arial" w:cs="Arial"/>
        </w:rPr>
        <w:t>الفصل الثالث: عناصر الرقابة الداخلية</w:t>
      </w:r>
    </w:p>
    <w:p>
      <w:pPr>
        <w:pStyle w:val="Heading2"/>
        <w:jc w:val="right"/>
        <w:keepNext/>
        <w:bidi w:val="1"/>
      </w:pPr>
      <w:r>
        <w:rPr>
          <w:rFonts w:ascii="Arial" w:hAnsi="Arial" w:cs="Arial"/>
        </w:rPr>
        <w:t>المادة (12): البيئة الرقابية</w:t>
      </w:r>
    </w:p>
    <w:p>
      <w:pPr>
        <w:pStyle w:val="ListBullet"/>
        <w:spacing w:after="40"/>
        <w:ind w:left="288" w:right="360"/>
        <w:jc w:val="right"/>
        <w:bidi w:val="1"/>
      </w:pPr>
      <w:r>
        <w:rPr>
          <w:rFonts w:ascii="Arial" w:hAnsi="Arial" w:cs="Arial"/>
          <w:sz w:val="20"/>
        </w:rPr>
        <w:t>قدوة مجلس الإدارة والإدارة في النزاهة والالتزام وعدم التسامح مع التحايل.</w:t>
      </w:r>
    </w:p>
    <w:p>
      <w:pPr>
        <w:pStyle w:val="ListBullet"/>
        <w:spacing w:after="40"/>
        <w:ind w:left="288" w:right="360"/>
        <w:jc w:val="right"/>
        <w:bidi w:val="1"/>
      </w:pPr>
      <w:r>
        <w:rPr>
          <w:rFonts w:ascii="Arial" w:hAnsi="Arial" w:cs="Arial"/>
          <w:sz w:val="20"/>
        </w:rPr>
        <w:t>هيكل تنظيمي معتمد ومسميات واقعية وبطاقات وصف ومصفوفة صلاحيات نافذة.</w:t>
      </w:r>
    </w:p>
    <w:p>
      <w:pPr>
        <w:pStyle w:val="ListBullet"/>
        <w:spacing w:after="40"/>
        <w:ind w:left="288" w:right="360"/>
        <w:jc w:val="right"/>
        <w:bidi w:val="1"/>
      </w:pPr>
      <w:r>
        <w:rPr>
          <w:rFonts w:ascii="Arial" w:hAnsi="Arial" w:cs="Arial"/>
          <w:sz w:val="20"/>
        </w:rPr>
        <w:t>فصل مناسب بين الطلب والاعتماد والتنفيذ والتسجيل والحفظ والمراجعة.</w:t>
      </w:r>
    </w:p>
    <w:p>
      <w:pPr>
        <w:pStyle w:val="ListBullet"/>
        <w:spacing w:after="40"/>
        <w:ind w:left="288" w:right="360"/>
        <w:jc w:val="right"/>
        <w:bidi w:val="1"/>
      </w:pPr>
      <w:r>
        <w:rPr>
          <w:rFonts w:ascii="Arial" w:hAnsi="Arial" w:cs="Arial"/>
          <w:sz w:val="20"/>
        </w:rPr>
        <w:t>اختيار العاملين وتأهيلهم وتقييمهم ومساءلتهم بما يتناسب مع المسؤولية.</w:t>
      </w:r>
    </w:p>
    <w:p>
      <w:pPr>
        <w:pStyle w:val="ListBullet"/>
        <w:spacing w:after="40"/>
        <w:ind w:left="288" w:right="360"/>
        <w:jc w:val="right"/>
        <w:bidi w:val="1"/>
      </w:pPr>
      <w:r>
        <w:rPr>
          <w:rFonts w:ascii="Arial" w:hAnsi="Arial" w:cs="Arial"/>
          <w:sz w:val="20"/>
        </w:rPr>
        <w:t>سياسات مكتوبة ومعلنة وسجلات إقرار وتدريب وقنوات مشورة وإبلاغ.</w:t>
      </w:r>
    </w:p>
    <w:p>
      <w:pPr>
        <w:pStyle w:val="ListBullet"/>
        <w:spacing w:after="40"/>
        <w:ind w:left="288" w:right="360"/>
        <w:jc w:val="right"/>
        <w:bidi w:val="1"/>
      </w:pPr>
      <w:r>
        <w:rPr>
          <w:rFonts w:ascii="Arial" w:hAnsi="Arial" w:cs="Arial"/>
          <w:sz w:val="20"/>
        </w:rPr>
        <w:t>اجتماعات وقرارات موثقة ومتابعة للتكليفات والمواعيد والمخاطر.</w:t>
      </w:r>
    </w:p>
    <w:p>
      <w:pPr>
        <w:pStyle w:val="Heading2"/>
        <w:jc w:val="right"/>
        <w:keepNext/>
        <w:bidi w:val="1"/>
      </w:pPr>
      <w:r>
        <w:rPr>
          <w:rFonts w:ascii="Arial" w:hAnsi="Arial" w:cs="Arial"/>
        </w:rPr>
        <w:t>المادة (13): إدارة المخاطر</w:t>
      </w:r>
    </w:p>
    <w:p>
      <w:pPr>
        <w:spacing w:after="60"/>
        <w:ind w:right="288" w:hanging="288"/>
        <w:jc w:val="right"/>
        <w:bidi w:val="1"/>
      </w:pPr>
      <w:r>
        <w:rPr>
          <w:rFonts w:ascii="Arial" w:hAnsi="Arial" w:cs="Arial"/>
          <w:sz w:val="20"/>
        </w:rPr>
        <w:t>1. تحديد أهداف الجمعية والوحدات والعمليات والمشروعات بصورة قابلة للقياس.</w:t>
      </w:r>
    </w:p>
    <w:p>
      <w:pPr>
        <w:spacing w:after="60"/>
        <w:ind w:right="288" w:hanging="288"/>
        <w:jc w:val="right"/>
        <w:bidi w:val="1"/>
      </w:pPr>
      <w:r>
        <w:rPr>
          <w:rFonts w:ascii="Arial" w:hAnsi="Arial" w:cs="Arial"/>
          <w:sz w:val="20"/>
        </w:rPr>
        <w:t>2. حصر المخاطر من مصادر داخلية وخارجية، بما فيها الاحتيال والامتثال والتقنية والسمعة والاستمرارية.</w:t>
      </w:r>
    </w:p>
    <w:p>
      <w:pPr>
        <w:spacing w:after="60"/>
        <w:ind w:right="288" w:hanging="288"/>
        <w:jc w:val="right"/>
        <w:bidi w:val="1"/>
      </w:pPr>
      <w:r>
        <w:rPr>
          <w:rFonts w:ascii="Arial" w:hAnsi="Arial" w:cs="Arial"/>
          <w:sz w:val="20"/>
        </w:rPr>
        <w:t>3. تقييم الاحتمال والأثر قبل الضوابط وبعدها وفق مقياس موحد.</w:t>
      </w:r>
    </w:p>
    <w:p>
      <w:pPr>
        <w:spacing w:after="60"/>
        <w:ind w:right="288" w:hanging="288"/>
        <w:jc w:val="right"/>
        <w:bidi w:val="1"/>
      </w:pPr>
      <w:r>
        <w:rPr>
          <w:rFonts w:ascii="Arial" w:hAnsi="Arial" w:cs="Arial"/>
          <w:sz w:val="20"/>
        </w:rPr>
        <w:t>4. تحديد مالك الخطر والضوابط القائمة وفجواتها وخيارات المعالجة.</w:t>
      </w:r>
    </w:p>
    <w:p>
      <w:pPr>
        <w:spacing w:after="60"/>
        <w:ind w:right="288" w:hanging="288"/>
        <w:jc w:val="right"/>
        <w:bidi w:val="1"/>
      </w:pPr>
      <w:r>
        <w:rPr>
          <w:rFonts w:ascii="Arial" w:hAnsi="Arial" w:cs="Arial"/>
          <w:sz w:val="20"/>
        </w:rPr>
        <w:t>5. اختيار المعالجة: تجنب، تخفيض، مشاركة/نقل، أو قبول من صاحب الصلاحية.</w:t>
      </w:r>
    </w:p>
    <w:p>
      <w:pPr>
        <w:spacing w:after="60"/>
        <w:ind w:right="288" w:hanging="288"/>
        <w:jc w:val="right"/>
        <w:bidi w:val="1"/>
      </w:pPr>
      <w:r>
        <w:rPr>
          <w:rFonts w:ascii="Arial" w:hAnsi="Arial" w:cs="Arial"/>
          <w:sz w:val="20"/>
        </w:rPr>
        <w:t>6. تحديد مؤشرات إنذار وحدود تصعيد وخطة بمسؤول وموعد وموارد.</w:t>
      </w:r>
    </w:p>
    <w:p>
      <w:pPr>
        <w:spacing w:after="60"/>
        <w:ind w:right="288" w:hanging="288"/>
        <w:jc w:val="right"/>
        <w:bidi w:val="1"/>
      </w:pPr>
      <w:r>
        <w:rPr>
          <w:rFonts w:ascii="Arial" w:hAnsi="Arial" w:cs="Arial"/>
          <w:sz w:val="20"/>
        </w:rPr>
        <w:t>7. مراجعة السجل ربع سنويًا وعند تغير جوهري أو حادث أو مشروع جديد.</w:t>
      </w:r>
    </w:p>
    <w:p>
      <w:pPr>
        <w:spacing w:after="60"/>
        <w:ind w:right="288" w:hanging="288"/>
        <w:jc w:val="right"/>
        <w:bidi w:val="1"/>
      </w:pPr>
      <w:r>
        <w:rPr>
          <w:rFonts w:ascii="Arial" w:hAnsi="Arial" w:cs="Arial"/>
          <w:sz w:val="20"/>
        </w:rPr>
        <w:t>8. رفع المخاطر المرتفعة والمتجاوزة للشهية إلى مجلس الإدارة دون تأخير.</w:t>
      </w:r>
    </w:p>
    <w:p>
      <w:pPr>
        <w:spacing w:after="80"/>
        <w:jc w:val="right"/>
        <w:bidi w:val="1"/>
      </w:pPr>
      <w:r>
        <w:rPr>
          <w:rFonts w:ascii="Arial" w:hAnsi="Arial" w:cs="Arial"/>
          <w:b/>
          <w:color w:val="A9322D"/>
        </w:rPr>
        <w:t>سجل المخاطر وثيقة إلزامية مساندة لهذا النظام، وليس ملحقًا شكليًا. ولا يغلق الخطر لمجرد وجود إجراء؛ بل يعاد تقييم الخطر المتبقي وفعالية الضابط.</w:t>
      </w:r>
    </w:p>
    <w:p>
      <w:pPr>
        <w:pStyle w:val="Heading2"/>
        <w:jc w:val="right"/>
        <w:keepNext/>
        <w:bidi w:val="1"/>
      </w:pPr>
      <w:r>
        <w:rPr>
          <w:rFonts w:ascii="Arial" w:hAnsi="Arial" w:cs="Arial"/>
        </w:rPr>
        <w:t>المادة (14): الأنشطة الرقابية</w:t>
      </w:r>
    </w:p>
    <w:tbl>
      <w:tblPr>
        <w:tblStyle w:val="TableGrid"/>
        <w:tblW w:type="dxa" w:w="8500"/>
        <w:jc w:val="center"/>
        <w:tblLayout w:type="fixed"/>
        <w:tblLook w:firstColumn="1" w:firstRow="1" w:lastColumn="0" w:lastRow="0" w:noHBand="0" w:noVBand="1" w:val="04A0"/>
        <w:tblInd w:w="0" w:type="dxa"/>
        <w:bidiVisual/>
      </w:tblPr>
      <w:tblGrid>
        <w:gridCol w:w="1600"/>
        <w:gridCol w:w="2200"/>
        <w:gridCol w:w="2800"/>
        <w:gridCol w:w="1900"/>
      </w:tblGrid>
      <w:tr>
        <w:trPr>
          <w:tblHeader w:val="true"/>
          <w:cantSplit/>
        </w:trPr>
        <w:tc>
          <w:tcPr>
            <w:tcW w:type="dxa" w:w="16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نوع الضابط</w:t>
            </w:r>
          </w:p>
        </w:tc>
        <w:tc>
          <w:tcPr>
            <w:tcW w:type="dxa" w:w="22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الهدف</w:t>
            </w:r>
          </w:p>
        </w:tc>
        <w:tc>
          <w:tcPr>
            <w:tcW w:type="dxa" w:w="28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أمثلة</w:t>
            </w:r>
          </w:p>
        </w:tc>
        <w:tc>
          <w:tcPr>
            <w:tcW w:type="dxa" w:w="19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الدليل</w:t>
            </w:r>
          </w:p>
        </w:tc>
      </w:tr>
      <w:tr>
        <w:trPr>
          <w:cantSplit/>
        </w:trPr>
        <w:tc>
          <w:tcPr>
            <w:tcW w:type="dxa" w:w="1600"/>
            <w:tcMar>
              <w:top w:w="90" w:type="dxa"/>
              <w:start w:w="110" w:type="dxa"/>
              <w:bottom w:w="90" w:type="dxa"/>
              <w:end w:w="110" w:type="dxa"/>
            </w:tcMar>
            <w:vAlign w:val="center"/>
          </w:tcPr>
          <w:p>
            <w:pPr>
              <w:spacing w:before="40" w:after="40"/>
              <w:jc w:val="center"/>
              <w:bidi w:val="1"/>
            </w:pPr>
            <w:r>
              <w:rPr>
                <w:rFonts w:ascii="Arial" w:hAnsi="Arial" w:cs="Arial"/>
                <w:sz w:val="16"/>
              </w:rPr>
              <w:t>وقائي</w:t>
            </w:r>
          </w:p>
        </w:tc>
        <w:tc>
          <w:tcPr>
            <w:tcW w:type="dxa" w:w="2200"/>
            <w:tcMar>
              <w:top w:w="90" w:type="dxa"/>
              <w:start w:w="110" w:type="dxa"/>
              <w:bottom w:w="90" w:type="dxa"/>
              <w:end w:w="110" w:type="dxa"/>
            </w:tcMar>
            <w:vAlign w:val="center"/>
          </w:tcPr>
          <w:p>
            <w:pPr>
              <w:spacing w:before="40" w:after="40"/>
              <w:jc w:val="right"/>
              <w:bidi w:val="1"/>
            </w:pPr>
            <w:r>
              <w:rPr>
                <w:rFonts w:ascii="Arial" w:hAnsi="Arial" w:cs="Arial"/>
                <w:sz w:val="16"/>
              </w:rPr>
              <w:t>منع الخطأ قبل وقوعه</w:t>
            </w:r>
          </w:p>
        </w:tc>
        <w:tc>
          <w:tcPr>
            <w:tcW w:type="dxa" w:w="2800"/>
            <w:tcMar>
              <w:top w:w="90" w:type="dxa"/>
              <w:start w:w="110" w:type="dxa"/>
              <w:bottom w:w="90" w:type="dxa"/>
              <w:end w:w="110" w:type="dxa"/>
            </w:tcMar>
            <w:vAlign w:val="center"/>
          </w:tcPr>
          <w:p>
            <w:pPr>
              <w:spacing w:before="40" w:after="40"/>
              <w:jc w:val="right"/>
              <w:bidi w:val="1"/>
            </w:pPr>
            <w:r>
              <w:rPr>
                <w:rFonts w:ascii="Arial" w:hAnsi="Arial" w:cs="Arial"/>
                <w:sz w:val="16"/>
              </w:rPr>
              <w:t>صلاحية مسبقة، فصل مهام، تحقق أهلية</w:t>
            </w:r>
          </w:p>
        </w:tc>
        <w:tc>
          <w:tcPr>
            <w:tcW w:type="dxa" w:w="1900"/>
            <w:tcMar>
              <w:top w:w="90" w:type="dxa"/>
              <w:start w:w="110" w:type="dxa"/>
              <w:bottom w:w="90" w:type="dxa"/>
              <w:end w:w="110" w:type="dxa"/>
            </w:tcMar>
            <w:vAlign w:val="center"/>
          </w:tcPr>
          <w:p>
            <w:pPr>
              <w:spacing w:before="40" w:after="40"/>
              <w:jc w:val="right"/>
              <w:bidi w:val="1"/>
            </w:pPr>
            <w:r>
              <w:rPr>
                <w:rFonts w:ascii="Arial" w:hAnsi="Arial" w:cs="Arial"/>
                <w:sz w:val="16"/>
              </w:rPr>
              <w:t>طلب/اعتماد/إعدادات نظام</w:t>
            </w:r>
          </w:p>
        </w:tc>
      </w:tr>
      <w:tr>
        <w:trPr>
          <w:cantSplit/>
        </w:trPr>
        <w:tc>
          <w:tcPr>
            <w:tcW w:type="dxa" w:w="1600"/>
            <w:shd w:fill="F2F4F5"/>
            <w:tcMar>
              <w:top w:w="90" w:type="dxa"/>
              <w:start w:w="110" w:type="dxa"/>
              <w:bottom w:w="90" w:type="dxa"/>
              <w:end w:w="110" w:type="dxa"/>
            </w:tcMar>
            <w:vAlign w:val="center"/>
          </w:tcPr>
          <w:p>
            <w:pPr>
              <w:spacing w:before="40" w:after="40"/>
              <w:jc w:val="center"/>
              <w:bidi w:val="1"/>
            </w:pPr>
            <w:r>
              <w:rPr>
                <w:rFonts w:ascii="Arial" w:hAnsi="Arial" w:cs="Arial"/>
                <w:sz w:val="16"/>
              </w:rPr>
              <w:t>كاشف</w:t>
            </w:r>
          </w:p>
        </w:tc>
        <w:tc>
          <w:tcPr>
            <w:tcW w:type="dxa" w:w="2200"/>
            <w:shd w:fill="F2F4F5"/>
            <w:tcMar>
              <w:top w:w="90" w:type="dxa"/>
              <w:start w:w="110" w:type="dxa"/>
              <w:bottom w:w="90" w:type="dxa"/>
              <w:end w:w="110" w:type="dxa"/>
            </w:tcMar>
            <w:vAlign w:val="center"/>
          </w:tcPr>
          <w:p>
            <w:pPr>
              <w:spacing w:before="40" w:after="40"/>
              <w:jc w:val="right"/>
              <w:bidi w:val="1"/>
            </w:pPr>
            <w:r>
              <w:rPr>
                <w:rFonts w:ascii="Arial" w:hAnsi="Arial" w:cs="Arial"/>
                <w:sz w:val="16"/>
              </w:rPr>
              <w:t>اكتشاف الخطأ بعد الوقوع بسرعة</w:t>
            </w:r>
          </w:p>
        </w:tc>
        <w:tc>
          <w:tcPr>
            <w:tcW w:type="dxa" w:w="2800"/>
            <w:shd w:fill="F2F4F5"/>
            <w:tcMar>
              <w:top w:w="90" w:type="dxa"/>
              <w:start w:w="110" w:type="dxa"/>
              <w:bottom w:w="90" w:type="dxa"/>
              <w:end w:w="110" w:type="dxa"/>
            </w:tcMar>
            <w:vAlign w:val="center"/>
          </w:tcPr>
          <w:p>
            <w:pPr>
              <w:spacing w:before="40" w:after="40"/>
              <w:jc w:val="right"/>
              <w:bidi w:val="1"/>
            </w:pPr>
            <w:r>
              <w:rPr>
                <w:rFonts w:ascii="Arial" w:hAnsi="Arial" w:cs="Arial"/>
                <w:sz w:val="16"/>
              </w:rPr>
              <w:t>مطابقة، جرد، تقرير استثناء، مراجعة</w:t>
            </w:r>
          </w:p>
        </w:tc>
        <w:tc>
          <w:tcPr>
            <w:tcW w:type="dxa" w:w="1900"/>
            <w:shd w:fill="F2F4F5"/>
            <w:tcMar>
              <w:top w:w="90" w:type="dxa"/>
              <w:start w:w="110" w:type="dxa"/>
              <w:bottom w:w="90" w:type="dxa"/>
              <w:end w:w="110" w:type="dxa"/>
            </w:tcMar>
            <w:vAlign w:val="center"/>
          </w:tcPr>
          <w:p>
            <w:pPr>
              <w:spacing w:before="40" w:after="40"/>
              <w:jc w:val="right"/>
              <w:bidi w:val="1"/>
            </w:pPr>
            <w:r>
              <w:rPr>
                <w:rFonts w:ascii="Arial" w:hAnsi="Arial" w:cs="Arial"/>
                <w:sz w:val="16"/>
              </w:rPr>
              <w:t>تسوية ومحضر وتقرير</w:t>
            </w:r>
          </w:p>
        </w:tc>
      </w:tr>
      <w:tr>
        <w:trPr>
          <w:cantSplit/>
        </w:trPr>
        <w:tc>
          <w:tcPr>
            <w:tcW w:type="dxa" w:w="1600"/>
            <w:tcMar>
              <w:top w:w="90" w:type="dxa"/>
              <w:start w:w="110" w:type="dxa"/>
              <w:bottom w:w="90" w:type="dxa"/>
              <w:end w:w="110" w:type="dxa"/>
            </w:tcMar>
            <w:vAlign w:val="center"/>
          </w:tcPr>
          <w:p>
            <w:pPr>
              <w:spacing w:before="40" w:after="40"/>
              <w:jc w:val="center"/>
              <w:bidi w:val="1"/>
            </w:pPr>
            <w:r>
              <w:rPr>
                <w:rFonts w:ascii="Arial" w:hAnsi="Arial" w:cs="Arial"/>
                <w:sz w:val="16"/>
              </w:rPr>
              <w:t>تصحيحي</w:t>
            </w:r>
          </w:p>
        </w:tc>
        <w:tc>
          <w:tcPr>
            <w:tcW w:type="dxa" w:w="2200"/>
            <w:tcMar>
              <w:top w:w="90" w:type="dxa"/>
              <w:start w:w="110" w:type="dxa"/>
              <w:bottom w:w="90" w:type="dxa"/>
              <w:end w:w="110" w:type="dxa"/>
            </w:tcMar>
            <w:vAlign w:val="center"/>
          </w:tcPr>
          <w:p>
            <w:pPr>
              <w:spacing w:before="40" w:after="40"/>
              <w:jc w:val="right"/>
              <w:bidi w:val="1"/>
            </w:pPr>
            <w:r>
              <w:rPr>
                <w:rFonts w:ascii="Arial" w:hAnsi="Arial" w:cs="Arial"/>
                <w:sz w:val="16"/>
              </w:rPr>
              <w:t>استعادة الوضع ومنع التكرار</w:t>
            </w:r>
          </w:p>
        </w:tc>
        <w:tc>
          <w:tcPr>
            <w:tcW w:type="dxa" w:w="2800"/>
            <w:tcMar>
              <w:top w:w="90" w:type="dxa"/>
              <w:start w:w="110" w:type="dxa"/>
              <w:bottom w:w="90" w:type="dxa"/>
              <w:end w:w="110" w:type="dxa"/>
            </w:tcMar>
            <w:vAlign w:val="center"/>
          </w:tcPr>
          <w:p>
            <w:pPr>
              <w:spacing w:before="40" w:after="40"/>
              <w:jc w:val="right"/>
              <w:bidi w:val="1"/>
            </w:pPr>
            <w:r>
              <w:rPr>
                <w:rFonts w:ascii="Arial" w:hAnsi="Arial" w:cs="Arial"/>
                <w:sz w:val="16"/>
              </w:rPr>
              <w:t>استرداد، إصلاح، تدريب، تعديل إجراء</w:t>
            </w:r>
          </w:p>
        </w:tc>
        <w:tc>
          <w:tcPr>
            <w:tcW w:type="dxa" w:w="1900"/>
            <w:tcMar>
              <w:top w:w="90" w:type="dxa"/>
              <w:start w:w="110" w:type="dxa"/>
              <w:bottom w:w="90" w:type="dxa"/>
              <w:end w:w="110" w:type="dxa"/>
            </w:tcMar>
            <w:vAlign w:val="center"/>
          </w:tcPr>
          <w:p>
            <w:pPr>
              <w:spacing w:before="40" w:after="40"/>
              <w:jc w:val="right"/>
              <w:bidi w:val="1"/>
            </w:pPr>
            <w:r>
              <w:rPr>
                <w:rFonts w:ascii="Arial" w:hAnsi="Arial" w:cs="Arial"/>
                <w:sz w:val="16"/>
              </w:rPr>
              <w:t>خطة وإثبات إغلاق</w:t>
            </w:r>
          </w:p>
        </w:tc>
      </w:tr>
      <w:tr>
        <w:trPr>
          <w:cantSplit/>
        </w:trPr>
        <w:tc>
          <w:tcPr>
            <w:tcW w:type="dxa" w:w="1600"/>
            <w:shd w:fill="F2F4F5"/>
            <w:tcMar>
              <w:top w:w="90" w:type="dxa"/>
              <w:start w:w="110" w:type="dxa"/>
              <w:bottom w:w="90" w:type="dxa"/>
              <w:end w:w="110" w:type="dxa"/>
            </w:tcMar>
            <w:vAlign w:val="center"/>
          </w:tcPr>
          <w:p>
            <w:pPr>
              <w:spacing w:before="40" w:after="40"/>
              <w:jc w:val="center"/>
              <w:bidi w:val="1"/>
            </w:pPr>
            <w:r>
              <w:rPr>
                <w:rFonts w:ascii="Arial" w:hAnsi="Arial" w:cs="Arial"/>
                <w:sz w:val="16"/>
              </w:rPr>
              <w:t>يدوي</w:t>
            </w:r>
          </w:p>
        </w:tc>
        <w:tc>
          <w:tcPr>
            <w:tcW w:type="dxa" w:w="2200"/>
            <w:shd w:fill="F2F4F5"/>
            <w:tcMar>
              <w:top w:w="90" w:type="dxa"/>
              <w:start w:w="110" w:type="dxa"/>
              <w:bottom w:w="90" w:type="dxa"/>
              <w:end w:w="110" w:type="dxa"/>
            </w:tcMar>
            <w:vAlign w:val="center"/>
          </w:tcPr>
          <w:p>
            <w:pPr>
              <w:spacing w:before="40" w:after="40"/>
              <w:jc w:val="right"/>
              <w:bidi w:val="1"/>
            </w:pPr>
            <w:r>
              <w:rPr>
                <w:rFonts w:ascii="Arial" w:hAnsi="Arial" w:cs="Arial"/>
                <w:sz w:val="16"/>
              </w:rPr>
              <w:t>حكم أو تحقق بشري</w:t>
            </w:r>
          </w:p>
        </w:tc>
        <w:tc>
          <w:tcPr>
            <w:tcW w:type="dxa" w:w="2800"/>
            <w:shd w:fill="F2F4F5"/>
            <w:tcMar>
              <w:top w:w="90" w:type="dxa"/>
              <w:start w:w="110" w:type="dxa"/>
              <w:bottom w:w="90" w:type="dxa"/>
              <w:end w:w="110" w:type="dxa"/>
            </w:tcMar>
            <w:vAlign w:val="center"/>
          </w:tcPr>
          <w:p>
            <w:pPr>
              <w:spacing w:before="40" w:after="40"/>
              <w:jc w:val="right"/>
              <w:bidi w:val="1"/>
            </w:pPr>
            <w:r>
              <w:rPr>
                <w:rFonts w:ascii="Arial" w:hAnsi="Arial" w:cs="Arial"/>
                <w:sz w:val="16"/>
              </w:rPr>
              <w:t>فحص مستند أو إشراف</w:t>
            </w:r>
          </w:p>
        </w:tc>
        <w:tc>
          <w:tcPr>
            <w:tcW w:type="dxa" w:w="1900"/>
            <w:shd w:fill="F2F4F5"/>
            <w:tcMar>
              <w:top w:w="90" w:type="dxa"/>
              <w:start w:w="110" w:type="dxa"/>
              <w:bottom w:w="90" w:type="dxa"/>
              <w:end w:w="110" w:type="dxa"/>
            </w:tcMar>
            <w:vAlign w:val="center"/>
          </w:tcPr>
          <w:p>
            <w:pPr>
              <w:spacing w:before="40" w:after="40"/>
              <w:jc w:val="right"/>
              <w:bidi w:val="1"/>
            </w:pPr>
            <w:r>
              <w:rPr>
                <w:rFonts w:ascii="Arial" w:hAnsi="Arial" w:cs="Arial"/>
                <w:sz w:val="16"/>
              </w:rPr>
              <w:t>توقيع أو سجل مراجعة</w:t>
            </w:r>
          </w:p>
        </w:tc>
      </w:tr>
      <w:tr>
        <w:trPr>
          <w:cantSplit/>
        </w:trPr>
        <w:tc>
          <w:tcPr>
            <w:tcW w:type="dxa" w:w="1600"/>
            <w:tcMar>
              <w:top w:w="90" w:type="dxa"/>
              <w:start w:w="110" w:type="dxa"/>
              <w:bottom w:w="90" w:type="dxa"/>
              <w:end w:w="110" w:type="dxa"/>
            </w:tcMar>
            <w:vAlign w:val="center"/>
          </w:tcPr>
          <w:p>
            <w:pPr>
              <w:spacing w:before="40" w:after="40"/>
              <w:jc w:val="center"/>
              <w:bidi w:val="1"/>
            </w:pPr>
            <w:r>
              <w:rPr>
                <w:rFonts w:ascii="Arial" w:hAnsi="Arial" w:cs="Arial"/>
                <w:sz w:val="16"/>
              </w:rPr>
              <w:t>آلي</w:t>
            </w:r>
          </w:p>
        </w:tc>
        <w:tc>
          <w:tcPr>
            <w:tcW w:type="dxa" w:w="2200"/>
            <w:tcMar>
              <w:top w:w="90" w:type="dxa"/>
              <w:start w:w="110" w:type="dxa"/>
              <w:bottom w:w="90" w:type="dxa"/>
              <w:end w:w="110" w:type="dxa"/>
            </w:tcMar>
            <w:vAlign w:val="center"/>
          </w:tcPr>
          <w:p>
            <w:pPr>
              <w:spacing w:before="40" w:after="40"/>
              <w:jc w:val="right"/>
              <w:bidi w:val="1"/>
            </w:pPr>
            <w:r>
              <w:rPr>
                <w:rFonts w:ascii="Arial" w:hAnsi="Arial" w:cs="Arial"/>
                <w:sz w:val="16"/>
              </w:rPr>
              <w:t>قاعدة ينفذها النظام</w:t>
            </w:r>
          </w:p>
        </w:tc>
        <w:tc>
          <w:tcPr>
            <w:tcW w:type="dxa" w:w="2800"/>
            <w:tcMar>
              <w:top w:w="90" w:type="dxa"/>
              <w:start w:w="110" w:type="dxa"/>
              <w:bottom w:w="90" w:type="dxa"/>
              <w:end w:w="110" w:type="dxa"/>
            </w:tcMar>
            <w:vAlign w:val="center"/>
          </w:tcPr>
          <w:p>
            <w:pPr>
              <w:spacing w:before="40" w:after="40"/>
              <w:jc w:val="right"/>
              <w:bidi w:val="1"/>
            </w:pPr>
            <w:r>
              <w:rPr>
                <w:rFonts w:ascii="Arial" w:hAnsi="Arial" w:cs="Arial"/>
                <w:sz w:val="16"/>
              </w:rPr>
              <w:t>منع تكرار أو تجاوز أو وصول</w:t>
            </w:r>
          </w:p>
        </w:tc>
        <w:tc>
          <w:tcPr>
            <w:tcW w:type="dxa" w:w="1900"/>
            <w:tcMar>
              <w:top w:w="90" w:type="dxa"/>
              <w:start w:w="110" w:type="dxa"/>
              <w:bottom w:w="90" w:type="dxa"/>
              <w:end w:w="110" w:type="dxa"/>
            </w:tcMar>
            <w:vAlign w:val="center"/>
          </w:tcPr>
          <w:p>
            <w:pPr>
              <w:spacing w:before="40" w:after="40"/>
              <w:jc w:val="right"/>
              <w:bidi w:val="1"/>
            </w:pPr>
            <w:r>
              <w:rPr>
                <w:rFonts w:ascii="Arial" w:hAnsi="Arial" w:cs="Arial"/>
                <w:sz w:val="16"/>
              </w:rPr>
              <w:t>إعدادات وسجل تدقيق</w:t>
            </w:r>
          </w:p>
        </w:tc>
      </w:tr>
      <w:tr>
        <w:trPr>
          <w:cantSplit/>
        </w:trPr>
        <w:tc>
          <w:tcPr>
            <w:tcW w:type="dxa" w:w="1600"/>
            <w:shd w:fill="F2F4F5"/>
            <w:tcMar>
              <w:top w:w="90" w:type="dxa"/>
              <w:start w:w="110" w:type="dxa"/>
              <w:bottom w:w="90" w:type="dxa"/>
              <w:end w:w="110" w:type="dxa"/>
            </w:tcMar>
            <w:vAlign w:val="center"/>
          </w:tcPr>
          <w:p>
            <w:pPr>
              <w:spacing w:before="40" w:after="40"/>
              <w:jc w:val="center"/>
              <w:bidi w:val="1"/>
            </w:pPr>
            <w:r>
              <w:rPr>
                <w:rFonts w:ascii="Arial" w:hAnsi="Arial" w:cs="Arial"/>
                <w:sz w:val="16"/>
              </w:rPr>
              <w:t>تعويضي</w:t>
            </w:r>
          </w:p>
        </w:tc>
        <w:tc>
          <w:tcPr>
            <w:tcW w:type="dxa" w:w="2200"/>
            <w:shd w:fill="F2F4F5"/>
            <w:tcMar>
              <w:top w:w="90" w:type="dxa"/>
              <w:start w:w="110" w:type="dxa"/>
              <w:bottom w:w="90" w:type="dxa"/>
              <w:end w:w="110" w:type="dxa"/>
            </w:tcMar>
            <w:vAlign w:val="center"/>
          </w:tcPr>
          <w:p>
            <w:pPr>
              <w:spacing w:before="40" w:after="40"/>
              <w:jc w:val="right"/>
              <w:bidi w:val="1"/>
            </w:pPr>
            <w:r>
              <w:rPr>
                <w:rFonts w:ascii="Arial" w:hAnsi="Arial" w:cs="Arial"/>
                <w:sz w:val="16"/>
              </w:rPr>
              <w:t>خفض خطر تعذر فصل مهمة</w:t>
            </w:r>
          </w:p>
        </w:tc>
        <w:tc>
          <w:tcPr>
            <w:tcW w:type="dxa" w:w="2800"/>
            <w:shd w:fill="F2F4F5"/>
            <w:tcMar>
              <w:top w:w="90" w:type="dxa"/>
              <w:start w:w="110" w:type="dxa"/>
              <w:bottom w:w="90" w:type="dxa"/>
              <w:end w:w="110" w:type="dxa"/>
            </w:tcMar>
            <w:vAlign w:val="center"/>
          </w:tcPr>
          <w:p>
            <w:pPr>
              <w:spacing w:before="40" w:after="40"/>
              <w:jc w:val="right"/>
              <w:bidi w:val="1"/>
            </w:pPr>
            <w:r>
              <w:rPr>
                <w:rFonts w:ascii="Arial" w:hAnsi="Arial" w:cs="Arial"/>
                <w:sz w:val="16"/>
              </w:rPr>
              <w:t>مراجعة لاحقة مستقلة وتقارير استثناء</w:t>
            </w:r>
          </w:p>
        </w:tc>
        <w:tc>
          <w:tcPr>
            <w:tcW w:type="dxa" w:w="1900"/>
            <w:shd w:fill="F2F4F5"/>
            <w:tcMar>
              <w:top w:w="90" w:type="dxa"/>
              <w:start w:w="110" w:type="dxa"/>
              <w:bottom w:w="90" w:type="dxa"/>
              <w:end w:w="110" w:type="dxa"/>
            </w:tcMar>
            <w:vAlign w:val="center"/>
          </w:tcPr>
          <w:p>
            <w:pPr>
              <w:spacing w:before="40" w:after="40"/>
              <w:jc w:val="right"/>
              <w:bidi w:val="1"/>
            </w:pPr>
            <w:r>
              <w:rPr>
                <w:rFonts w:ascii="Arial" w:hAnsi="Arial" w:cs="Arial"/>
                <w:sz w:val="16"/>
              </w:rPr>
              <w:t>محضر مراجعة وتصعيد</w:t>
            </w:r>
          </w:p>
        </w:tc>
      </w:tr>
    </w:tbl>
    <w:p>
      <w:pPr>
        <w:pStyle w:val="Heading2"/>
        <w:jc w:val="right"/>
        <w:keepNext/>
        <w:bidi w:val="1"/>
      </w:pPr>
      <w:r>
        <w:rPr>
          <w:rFonts w:ascii="Arial" w:hAnsi="Arial" w:cs="Arial"/>
        </w:rPr>
        <w:t>المادة (15): المعلومات والاتصال</w:t>
      </w:r>
    </w:p>
    <w:p>
      <w:pPr>
        <w:pStyle w:val="ListBullet"/>
        <w:spacing w:after="40"/>
        <w:ind w:left="288" w:right="360"/>
        <w:jc w:val="right"/>
        <w:bidi w:val="1"/>
      </w:pPr>
      <w:r>
        <w:rPr>
          <w:rFonts w:ascii="Arial" w:hAnsi="Arial" w:cs="Arial"/>
          <w:sz w:val="20"/>
        </w:rPr>
        <w:t>تحديد احتياجات المعلومات ومصدرها ومالكها ودوريتها ومستوى سريتها.</w:t>
      </w:r>
    </w:p>
    <w:p>
      <w:pPr>
        <w:pStyle w:val="ListBullet"/>
        <w:spacing w:after="40"/>
        <w:ind w:left="288" w:right="360"/>
        <w:jc w:val="right"/>
        <w:bidi w:val="1"/>
      </w:pPr>
      <w:r>
        <w:rPr>
          <w:rFonts w:ascii="Arial" w:hAnsi="Arial" w:cs="Arial"/>
          <w:sz w:val="20"/>
        </w:rPr>
        <w:t>التحقق من اكتمال ودقة وحداثة التقارير قبل الاعتماد أو القرار.</w:t>
      </w:r>
    </w:p>
    <w:p>
      <w:pPr>
        <w:pStyle w:val="ListBullet"/>
        <w:spacing w:after="40"/>
        <w:ind w:left="288" w:right="360"/>
        <w:jc w:val="right"/>
        <w:bidi w:val="1"/>
      </w:pPr>
      <w:r>
        <w:rPr>
          <w:rFonts w:ascii="Arial" w:hAnsi="Arial" w:cs="Arial"/>
          <w:sz w:val="20"/>
        </w:rPr>
        <w:t>توفير قنوات داخلية للتوجيه والتصعيد والإبلاغ وقنوات خارجية للمستفيدين والجهات المختصة.</w:t>
      </w:r>
    </w:p>
    <w:p>
      <w:pPr>
        <w:pStyle w:val="ListBullet"/>
        <w:spacing w:after="40"/>
        <w:ind w:left="288" w:right="360"/>
        <w:jc w:val="right"/>
        <w:bidi w:val="1"/>
      </w:pPr>
      <w:r>
        <w:rPr>
          <w:rFonts w:ascii="Arial" w:hAnsi="Arial" w:cs="Arial"/>
          <w:sz w:val="20"/>
        </w:rPr>
        <w:t>تصنيف الوثائق وتطبيق صلاحيات الوصول والحفظ والإتلاف والنسخ الاحتياطي.</w:t>
      </w:r>
    </w:p>
    <w:p>
      <w:pPr>
        <w:pStyle w:val="ListBullet"/>
        <w:spacing w:after="40"/>
        <w:ind w:left="288" w:right="360"/>
        <w:jc w:val="right"/>
        <w:bidi w:val="1"/>
      </w:pPr>
      <w:r>
        <w:rPr>
          <w:rFonts w:ascii="Arial" w:hAnsi="Arial" w:cs="Arial"/>
          <w:sz w:val="20"/>
        </w:rPr>
        <w:t>عدم استخدام وسيلة شخصية أو غير معتمدة لإرسال معلومات حساسة أو اعتماد قرار.</w:t>
      </w:r>
    </w:p>
    <w:p>
      <w:pPr>
        <w:pStyle w:val="Heading2"/>
        <w:jc w:val="right"/>
        <w:keepNext/>
        <w:bidi w:val="1"/>
      </w:pPr>
      <w:r>
        <w:rPr>
          <w:rFonts w:ascii="Arial" w:hAnsi="Arial" w:cs="Arial"/>
        </w:rPr>
        <w:t>المادة (16): المتابعة والتقييم</w:t>
      </w:r>
    </w:p>
    <w:p>
      <w:pPr>
        <w:pStyle w:val="ListBullet"/>
        <w:spacing w:after="40"/>
        <w:ind w:left="288" w:right="360"/>
        <w:jc w:val="right"/>
        <w:bidi w:val="1"/>
      </w:pPr>
      <w:r>
        <w:rPr>
          <w:rFonts w:ascii="Arial" w:hAnsi="Arial" w:cs="Arial"/>
          <w:sz w:val="20"/>
        </w:rPr>
        <w:t>متابعة مستمرة من المديرين ضمن العمل اليومي ومراجعات منفصلة دورية من جهة مستقلة نسبيًا.</w:t>
      </w:r>
    </w:p>
    <w:p>
      <w:pPr>
        <w:pStyle w:val="ListBullet"/>
        <w:spacing w:after="40"/>
        <w:ind w:left="288" w:right="360"/>
        <w:jc w:val="right"/>
        <w:bidi w:val="1"/>
      </w:pPr>
      <w:r>
        <w:rPr>
          <w:rFonts w:ascii="Arial" w:hAnsi="Arial" w:cs="Arial"/>
          <w:sz w:val="20"/>
        </w:rPr>
        <w:t>اختبارات ذاتية للضوابط من مالك العملية مع أدلة، دون أن تحل محل المراجعة المستقلة.</w:t>
      </w:r>
    </w:p>
    <w:p>
      <w:pPr>
        <w:pStyle w:val="ListBullet"/>
        <w:spacing w:after="40"/>
        <w:ind w:left="288" w:right="360"/>
        <w:jc w:val="right"/>
        <w:bidi w:val="1"/>
      </w:pPr>
      <w:r>
        <w:rPr>
          <w:rFonts w:ascii="Arial" w:hAnsi="Arial" w:cs="Arial"/>
          <w:sz w:val="20"/>
        </w:rPr>
        <w:t>مؤشرات كفاءة وفعالية وجودة وامتثال ومخاطر، مع حدود إنذار ومسؤول استجابة.</w:t>
      </w:r>
    </w:p>
    <w:p>
      <w:pPr>
        <w:pStyle w:val="ListBullet"/>
        <w:spacing w:after="40"/>
        <w:ind w:left="288" w:right="360"/>
        <w:jc w:val="right"/>
        <w:bidi w:val="1"/>
      </w:pPr>
      <w:r>
        <w:rPr>
          <w:rFonts w:ascii="Arial" w:hAnsi="Arial" w:cs="Arial"/>
          <w:sz w:val="20"/>
        </w:rPr>
        <w:t>إعادة تقييم الضابط بعد حادث أو تغيير نظام أو موظف أو مورد أو تشريع.</w:t>
      </w:r>
    </w:p>
    <w:p>
      <w:pPr>
        <w:pStyle w:val="ListBullet"/>
        <w:spacing w:after="40"/>
        <w:ind w:left="288" w:right="360"/>
        <w:jc w:val="right"/>
        <w:bidi w:val="1"/>
      </w:pPr>
      <w:r>
        <w:rPr>
          <w:rFonts w:ascii="Arial" w:hAnsi="Arial" w:cs="Arial"/>
          <w:sz w:val="20"/>
        </w:rPr>
        <w:t>رفع نتائج المتابعة والإجراءات المتأخرة ومخاطر القبول إلى مجلس الإدارة.</w:t>
      </w:r>
    </w:p>
    <w:p>
      <w:pPr>
        <w:pStyle w:val="Heading1"/>
        <w:jc w:val="right"/>
        <w:keepNext/>
        <w:bidi w:val="1"/>
      </w:pPr>
      <w:r>
        <w:rPr>
          <w:rFonts w:ascii="Arial" w:hAnsi="Arial" w:cs="Arial"/>
        </w:rPr>
        <w:t>الفصل الرابع: الرقابة حسب مجالات العمل</w:t>
      </w:r>
    </w:p>
    <w:p>
      <w:pPr>
        <w:pStyle w:val="Heading2"/>
        <w:jc w:val="right"/>
        <w:keepNext/>
        <w:bidi w:val="1"/>
      </w:pPr>
      <w:r>
        <w:rPr>
          <w:rFonts w:ascii="Arial" w:hAnsi="Arial" w:cs="Arial"/>
        </w:rPr>
        <w:t>المادة (17): الرقابة المالية</w:t>
      </w:r>
    </w:p>
    <w:p>
      <w:pPr>
        <w:pStyle w:val="ListBullet"/>
        <w:spacing w:after="40"/>
        <w:ind w:left="288" w:right="360"/>
        <w:jc w:val="right"/>
        <w:bidi w:val="1"/>
      </w:pPr>
      <w:r>
        <w:rPr>
          <w:rFonts w:ascii="Arial" w:hAnsi="Arial" w:cs="Arial"/>
          <w:sz w:val="20"/>
        </w:rPr>
        <w:t>موازنة معتمدة ومراكز تكلفة ومتابعة للفعلي والملتزم والمتوقع والانحراف.</w:t>
      </w:r>
    </w:p>
    <w:p>
      <w:pPr>
        <w:pStyle w:val="ListBullet"/>
        <w:spacing w:after="40"/>
        <w:ind w:left="288" w:right="360"/>
        <w:jc w:val="right"/>
        <w:bidi w:val="1"/>
      </w:pPr>
      <w:r>
        <w:rPr>
          <w:rFonts w:ascii="Arial" w:hAnsi="Arial" w:cs="Arial"/>
          <w:sz w:val="20"/>
        </w:rPr>
        <w:t>حسابات بنكية رسمية وتوقيع مشترك وصلاحيات إلكترونية ومطابقات شهرية مستقلة.</w:t>
      </w:r>
    </w:p>
    <w:p>
      <w:pPr>
        <w:pStyle w:val="ListBullet"/>
        <w:spacing w:after="40"/>
        <w:ind w:left="288" w:right="360"/>
        <w:jc w:val="right"/>
        <w:bidi w:val="1"/>
      </w:pPr>
      <w:r>
        <w:rPr>
          <w:rFonts w:ascii="Arial" w:hAnsi="Arial" w:cs="Arial"/>
          <w:sz w:val="20"/>
        </w:rPr>
        <w:t>مستندات مؤيدة وتحقق من الاستلام وعدم التكرار والميزانية قبل الدفع.</w:t>
      </w:r>
    </w:p>
    <w:p>
      <w:pPr>
        <w:pStyle w:val="ListBullet"/>
        <w:spacing w:after="40"/>
        <w:ind w:left="288" w:right="360"/>
        <w:jc w:val="right"/>
        <w:bidi w:val="1"/>
      </w:pPr>
      <w:r>
        <w:rPr>
          <w:rFonts w:ascii="Arial" w:hAnsi="Arial" w:cs="Arial"/>
          <w:sz w:val="20"/>
        </w:rPr>
        <w:t>فصل الطلب والاعتماد والتنفيذ والتسجيل والتسوية، مع ضوابط تعويضية موثقة.</w:t>
      </w:r>
    </w:p>
    <w:p>
      <w:pPr>
        <w:pStyle w:val="ListBullet"/>
        <w:spacing w:after="40"/>
        <w:ind w:left="288" w:right="360"/>
        <w:jc w:val="right"/>
        <w:bidi w:val="1"/>
      </w:pPr>
      <w:r>
        <w:rPr>
          <w:rFonts w:ascii="Arial" w:hAnsi="Arial" w:cs="Arial"/>
          <w:sz w:val="20"/>
        </w:rPr>
        <w:t>إقفال دوري وتسويات للعهد والذمم والأصول والمخزون وتقارير للمجلس.</w:t>
      </w:r>
    </w:p>
    <w:p>
      <w:pPr>
        <w:pStyle w:val="ListBullet"/>
        <w:spacing w:after="40"/>
        <w:ind w:left="288" w:right="360"/>
        <w:jc w:val="right"/>
        <w:bidi w:val="1"/>
      </w:pPr>
      <w:r>
        <w:rPr>
          <w:rFonts w:ascii="Arial" w:hAnsi="Arial" w:cs="Arial"/>
          <w:sz w:val="20"/>
        </w:rPr>
        <w:t>قوائم مالية مدققة ومتابعة ملاحظات المراجع وحفظ السجلات عشر سنوات على الأقل.</w:t>
      </w:r>
    </w:p>
    <w:p>
      <w:pPr>
        <w:pStyle w:val="ListBullet"/>
        <w:spacing w:after="40"/>
        <w:ind w:left="288" w:right="360"/>
        <w:jc w:val="right"/>
        <w:bidi w:val="1"/>
      </w:pPr>
      <w:r>
        <w:rPr>
          <w:rFonts w:ascii="Arial" w:hAnsi="Arial" w:cs="Arial"/>
          <w:sz w:val="20"/>
        </w:rPr>
        <w:t>تطبيق السياسة المالية ومصفوفة الصلاحيات باعتبارهما مرجعين تفصيليين.</w:t>
      </w:r>
    </w:p>
    <w:p>
      <w:pPr>
        <w:pStyle w:val="Heading2"/>
        <w:jc w:val="right"/>
        <w:keepNext/>
        <w:bidi w:val="1"/>
      </w:pPr>
      <w:r>
        <w:rPr>
          <w:rFonts w:ascii="Arial" w:hAnsi="Arial" w:cs="Arial"/>
        </w:rPr>
        <w:t>المادة (18): المشتريات والعقود</w:t>
      </w:r>
    </w:p>
    <w:p>
      <w:pPr>
        <w:pStyle w:val="ListBullet"/>
        <w:spacing w:after="40"/>
        <w:ind w:left="288" w:right="360"/>
        <w:jc w:val="right"/>
        <w:bidi w:val="1"/>
      </w:pPr>
      <w:r>
        <w:rPr>
          <w:rFonts w:ascii="Arial" w:hAnsi="Arial" w:cs="Arial"/>
          <w:sz w:val="20"/>
        </w:rPr>
        <w:t>تخطيط الاحتياجات وعدم تجزئتها للتحايل على الصلاحيات أو المنافسة.</w:t>
      </w:r>
    </w:p>
    <w:p>
      <w:pPr>
        <w:pStyle w:val="ListBullet"/>
        <w:spacing w:after="40"/>
        <w:ind w:left="288" w:right="360"/>
        <w:jc w:val="right"/>
        <w:bidi w:val="1"/>
      </w:pPr>
      <w:r>
        <w:rPr>
          <w:rFonts w:ascii="Arial" w:hAnsi="Arial" w:cs="Arial"/>
          <w:sz w:val="20"/>
        </w:rPr>
        <w:t>مواصفات ومعايير تقييم واضحة وفصل التقييم الفني عن الاعتماد والشراء عند الإمكان.</w:t>
      </w:r>
    </w:p>
    <w:p>
      <w:pPr>
        <w:pStyle w:val="ListBullet"/>
        <w:spacing w:after="40"/>
        <w:ind w:left="288" w:right="360"/>
        <w:jc w:val="right"/>
        <w:bidi w:val="1"/>
      </w:pPr>
      <w:r>
        <w:rPr>
          <w:rFonts w:ascii="Arial" w:hAnsi="Arial" w:cs="Arial"/>
          <w:sz w:val="20"/>
        </w:rPr>
        <w:t>إفصاح تعارض المصالح وسرية العروض ومساواة المتنافسين وتوثيق الترسية.</w:t>
      </w:r>
    </w:p>
    <w:p>
      <w:pPr>
        <w:pStyle w:val="ListBullet"/>
        <w:spacing w:after="40"/>
        <w:ind w:left="288" w:right="360"/>
        <w:jc w:val="right"/>
        <w:bidi w:val="1"/>
      </w:pPr>
      <w:r>
        <w:rPr>
          <w:rFonts w:ascii="Arial" w:hAnsi="Arial" w:cs="Arial"/>
          <w:sz w:val="20"/>
        </w:rPr>
        <w:t>عقد أو أمر شراء قبل التوريد وتسجيل الارتباط ومتابعة الضمانات والمراحل.</w:t>
      </w:r>
    </w:p>
    <w:p>
      <w:pPr>
        <w:pStyle w:val="ListBullet"/>
        <w:spacing w:after="40"/>
        <w:ind w:left="288" w:right="360"/>
        <w:jc w:val="right"/>
        <w:bidi w:val="1"/>
      </w:pPr>
      <w:r>
        <w:rPr>
          <w:rFonts w:ascii="Arial" w:hAnsi="Arial" w:cs="Arial"/>
          <w:sz w:val="20"/>
        </w:rPr>
        <w:t>استلام مستقل وتقييم أداء المورد ومطابقة العقد والاستلام والفاتورة.</w:t>
      </w:r>
    </w:p>
    <w:p>
      <w:pPr>
        <w:pStyle w:val="ListBullet"/>
        <w:spacing w:after="40"/>
        <w:ind w:left="288" w:right="360"/>
        <w:jc w:val="right"/>
        <w:bidi w:val="1"/>
      </w:pPr>
      <w:r>
        <w:rPr>
          <w:rFonts w:ascii="Arial" w:hAnsi="Arial" w:cs="Arial"/>
          <w:sz w:val="20"/>
        </w:rPr>
        <w:t>سجل عقود يبين المدة والقيمة والمالك والتجديد والالتزامات والتنبيهات.</w:t>
      </w:r>
    </w:p>
    <w:p>
      <w:pPr>
        <w:pStyle w:val="Heading2"/>
        <w:jc w:val="right"/>
        <w:keepNext/>
        <w:bidi w:val="1"/>
      </w:pPr>
      <w:r>
        <w:rPr>
          <w:rFonts w:ascii="Arial" w:hAnsi="Arial" w:cs="Arial"/>
        </w:rPr>
        <w:t>المادة (19): الموارد البشرية</w:t>
      </w:r>
    </w:p>
    <w:p>
      <w:pPr>
        <w:pStyle w:val="ListBullet"/>
        <w:spacing w:after="40"/>
        <w:ind w:left="288" w:right="360"/>
        <w:jc w:val="right"/>
        <w:bidi w:val="1"/>
      </w:pPr>
      <w:r>
        <w:rPr>
          <w:rFonts w:ascii="Arial" w:hAnsi="Arial" w:cs="Arial"/>
          <w:sz w:val="20"/>
        </w:rPr>
        <w:t>توظيف وفق احتياج ووصف ومعايير واختصاصات وموافقات موثقة.</w:t>
      </w:r>
    </w:p>
    <w:p>
      <w:pPr>
        <w:pStyle w:val="ListBullet"/>
        <w:spacing w:after="40"/>
        <w:ind w:left="288" w:right="360"/>
        <w:jc w:val="right"/>
        <w:bidi w:val="1"/>
      </w:pPr>
      <w:r>
        <w:rPr>
          <w:rFonts w:ascii="Arial" w:hAnsi="Arial" w:cs="Arial"/>
          <w:sz w:val="20"/>
        </w:rPr>
        <w:t>فصل إعداد الرواتب والتغييرات عن الدفع والمراجعة، ومطابقة العقود والحضور.</w:t>
      </w:r>
    </w:p>
    <w:p>
      <w:pPr>
        <w:pStyle w:val="ListBullet"/>
        <w:spacing w:after="40"/>
        <w:ind w:left="288" w:right="360"/>
        <w:jc w:val="right"/>
        <w:bidi w:val="1"/>
      </w:pPr>
      <w:r>
        <w:rPr>
          <w:rFonts w:ascii="Arial" w:hAnsi="Arial" w:cs="Arial"/>
          <w:sz w:val="20"/>
        </w:rPr>
        <w:t>تعريف الموظف بالسياسات والصلاحيات والسرية والأخلاقيات والإبلاغ.</w:t>
      </w:r>
    </w:p>
    <w:p>
      <w:pPr>
        <w:pStyle w:val="ListBullet"/>
        <w:spacing w:after="40"/>
        <w:ind w:left="288" w:right="360"/>
        <w:jc w:val="right"/>
        <w:bidi w:val="1"/>
      </w:pPr>
      <w:r>
        <w:rPr>
          <w:rFonts w:ascii="Arial" w:hAnsi="Arial" w:cs="Arial"/>
          <w:sz w:val="20"/>
        </w:rPr>
        <w:t>تقييم أداء عادل وأدلة وخطط تطوير وتظلم وفق الآلية المعتمدة.</w:t>
      </w:r>
    </w:p>
    <w:p>
      <w:pPr>
        <w:pStyle w:val="ListBullet"/>
        <w:spacing w:after="40"/>
        <w:ind w:left="288" w:right="360"/>
        <w:jc w:val="right"/>
        <w:bidi w:val="1"/>
      </w:pPr>
      <w:r>
        <w:rPr>
          <w:rFonts w:ascii="Arial" w:hAnsi="Arial" w:cs="Arial"/>
          <w:sz w:val="20"/>
        </w:rPr>
        <w:t>إخلاء طرف عند النقل أو الانتهاء وإلغاء الصلاحيات واستعادة الأصول والبيانات فورًا.</w:t>
      </w:r>
    </w:p>
    <w:p>
      <w:pPr>
        <w:pStyle w:val="ListBullet"/>
        <w:spacing w:after="40"/>
        <w:ind w:left="288" w:right="360"/>
        <w:jc w:val="right"/>
        <w:bidi w:val="1"/>
      </w:pPr>
      <w:r>
        <w:rPr>
          <w:rFonts w:ascii="Arial" w:hAnsi="Arial" w:cs="Arial"/>
          <w:sz w:val="20"/>
        </w:rPr>
        <w:t>حفظ الملفات الوظيفية والبيانات بصلاحيات مقيدة وفق الخصوصية والحفظ.</w:t>
      </w:r>
    </w:p>
    <w:p>
      <w:pPr>
        <w:pStyle w:val="Heading2"/>
        <w:jc w:val="right"/>
        <w:keepNext/>
        <w:bidi w:val="1"/>
      </w:pPr>
      <w:r>
        <w:rPr>
          <w:rFonts w:ascii="Arial" w:hAnsi="Arial" w:cs="Arial"/>
        </w:rPr>
        <w:t>المادة (20): البرامج والمستفيدون</w:t>
      </w:r>
    </w:p>
    <w:p>
      <w:pPr>
        <w:pStyle w:val="ListBullet"/>
        <w:spacing w:after="40"/>
        <w:ind w:left="288" w:right="360"/>
        <w:jc w:val="right"/>
        <w:bidi w:val="1"/>
      </w:pPr>
      <w:r>
        <w:rPr>
          <w:rFonts w:ascii="Arial" w:hAnsi="Arial" w:cs="Arial"/>
          <w:sz w:val="20"/>
        </w:rPr>
        <w:t>معايير أهلية وخدمة ومخرجات معتمدة ومنشورة بما يناسب، وفصل التسجيل عن القرار عند الإمكان.</w:t>
      </w:r>
    </w:p>
    <w:p>
      <w:pPr>
        <w:pStyle w:val="ListBullet"/>
        <w:spacing w:after="40"/>
        <w:ind w:left="288" w:right="360"/>
        <w:jc w:val="right"/>
        <w:bidi w:val="1"/>
      </w:pPr>
      <w:r>
        <w:rPr>
          <w:rFonts w:ascii="Arial" w:hAnsi="Arial" w:cs="Arial"/>
          <w:sz w:val="20"/>
        </w:rPr>
        <w:t>تحقق من الهوية والاستحقاق بالحد الأدنى اللازم وحماية البيانات الحساسة.</w:t>
      </w:r>
    </w:p>
    <w:p>
      <w:pPr>
        <w:pStyle w:val="ListBullet"/>
        <w:spacing w:after="40"/>
        <w:ind w:left="288" w:right="360"/>
        <w:jc w:val="right"/>
        <w:bidi w:val="1"/>
      </w:pPr>
      <w:r>
        <w:rPr>
          <w:rFonts w:ascii="Arial" w:hAnsi="Arial" w:cs="Arial"/>
          <w:sz w:val="20"/>
        </w:rPr>
        <w:t>توثيق تقديم الخدمة أو المساعدة ومنع الازدواجية والتلاعب والمحاباة.</w:t>
      </w:r>
    </w:p>
    <w:p>
      <w:pPr>
        <w:pStyle w:val="ListBullet"/>
        <w:spacing w:after="40"/>
        <w:ind w:left="288" w:right="360"/>
        <w:jc w:val="right"/>
        <w:bidi w:val="1"/>
      </w:pPr>
      <w:r>
        <w:rPr>
          <w:rFonts w:ascii="Arial" w:hAnsi="Arial" w:cs="Arial"/>
          <w:sz w:val="20"/>
        </w:rPr>
        <w:t>قنوات اعتراض وشكاوى وقياس رضا وتحليل نتائج مجمعة وخطط تحسين.</w:t>
      </w:r>
    </w:p>
    <w:p>
      <w:pPr>
        <w:pStyle w:val="ListBullet"/>
        <w:spacing w:after="40"/>
        <w:ind w:left="288" w:right="360"/>
        <w:jc w:val="right"/>
        <w:bidi w:val="1"/>
      </w:pPr>
      <w:r>
        <w:rPr>
          <w:rFonts w:ascii="Arial" w:hAnsi="Arial" w:cs="Arial"/>
          <w:sz w:val="20"/>
        </w:rPr>
        <w:t>مراقبة جودة البرامج وميزانيتها ومخرجاتها وأثرها والقيود المانحة.</w:t>
      </w:r>
    </w:p>
    <w:p>
      <w:pPr>
        <w:pStyle w:val="ListBullet"/>
        <w:spacing w:after="40"/>
        <w:ind w:left="288" w:right="360"/>
        <w:jc w:val="right"/>
        <w:bidi w:val="1"/>
      </w:pPr>
      <w:r>
        <w:rPr>
          <w:rFonts w:ascii="Arial" w:hAnsi="Arial" w:cs="Arial"/>
          <w:sz w:val="20"/>
        </w:rPr>
        <w:t>ضوابط حماية مشددة للفئات الأكثر عرضة للضرر والتعامل الصحي أو المهني.</w:t>
      </w:r>
    </w:p>
    <w:p>
      <w:pPr>
        <w:pStyle w:val="Heading2"/>
        <w:jc w:val="right"/>
        <w:keepNext/>
        <w:bidi w:val="1"/>
      </w:pPr>
      <w:r>
        <w:rPr>
          <w:rFonts w:ascii="Arial" w:hAnsi="Arial" w:cs="Arial"/>
        </w:rPr>
        <w:t>المادة (21): التبرعات والامتثال المالي</w:t>
      </w:r>
    </w:p>
    <w:p>
      <w:pPr>
        <w:pStyle w:val="ListBullet"/>
        <w:spacing w:after="40"/>
        <w:ind w:left="288" w:right="360"/>
        <w:jc w:val="right"/>
        <w:bidi w:val="1"/>
      </w:pPr>
      <w:r>
        <w:rPr>
          <w:rFonts w:ascii="Arial" w:hAnsi="Arial" w:cs="Arial"/>
          <w:sz w:val="20"/>
        </w:rPr>
        <w:t>جمع التبرعات عبر التراخيص والحسابات والقنوات المعتمدة فقط، مع تقارير الحملات والصرف.</w:t>
      </w:r>
    </w:p>
    <w:p>
      <w:pPr>
        <w:pStyle w:val="ListBullet"/>
        <w:spacing w:after="40"/>
        <w:ind w:left="288" w:right="360"/>
        <w:jc w:val="right"/>
        <w:bidi w:val="1"/>
      </w:pPr>
      <w:r>
        <w:rPr>
          <w:rFonts w:ascii="Arial" w:hAnsi="Arial" w:cs="Arial"/>
          <w:sz w:val="20"/>
        </w:rPr>
        <w:t>فصل التحصيل عن التسجيل والمطابقة، وربط التبرع بغرضه وقيوده.</w:t>
      </w:r>
    </w:p>
    <w:p>
      <w:pPr>
        <w:pStyle w:val="ListBullet"/>
        <w:spacing w:after="40"/>
        <w:ind w:left="288" w:right="360"/>
        <w:jc w:val="right"/>
        <w:bidi w:val="1"/>
      </w:pPr>
      <w:r>
        <w:rPr>
          <w:rFonts w:ascii="Arial" w:hAnsi="Arial" w:cs="Arial"/>
          <w:sz w:val="20"/>
        </w:rPr>
        <w:t>تطبيق إجراءات العناية الواجبة وتقييم مخاطر غسل الأموال وتمويل الإرهاب والتصعيد السري.</w:t>
      </w:r>
    </w:p>
    <w:p>
      <w:pPr>
        <w:pStyle w:val="ListBullet"/>
        <w:spacing w:after="40"/>
        <w:ind w:left="288" w:right="360"/>
        <w:jc w:val="right"/>
        <w:bidi w:val="1"/>
      </w:pPr>
      <w:r>
        <w:rPr>
          <w:rFonts w:ascii="Arial" w:hAnsi="Arial" w:cs="Arial"/>
          <w:sz w:val="20"/>
        </w:rPr>
        <w:t>عدم رد المال إلى طرف أو قناة مختلفة دون تحقق مستقل ومسوغ مشروع.</w:t>
      </w:r>
    </w:p>
    <w:p>
      <w:pPr>
        <w:pStyle w:val="ListBullet"/>
        <w:spacing w:after="40"/>
        <w:ind w:left="288" w:right="360"/>
        <w:jc w:val="right"/>
        <w:bidi w:val="1"/>
      </w:pPr>
      <w:r>
        <w:rPr>
          <w:rFonts w:ascii="Arial" w:hAnsi="Arial" w:cs="Arial"/>
          <w:sz w:val="20"/>
        </w:rPr>
        <w:t>تتبع الأموال المقيدة والزكوات والأوقاف وعدم استخدامها في غير الغرض.</w:t>
      </w:r>
    </w:p>
    <w:p>
      <w:pPr>
        <w:pStyle w:val="ListBullet"/>
        <w:spacing w:after="40"/>
        <w:ind w:left="288" w:right="360"/>
        <w:jc w:val="right"/>
        <w:bidi w:val="1"/>
      </w:pPr>
      <w:r>
        <w:rPr>
          <w:rFonts w:ascii="Arial" w:hAnsi="Arial" w:cs="Arial"/>
          <w:sz w:val="20"/>
        </w:rPr>
        <w:t>الإبلاغ النظامي عن الاشتباه دون تنبيه الطرف محل الاشتباه.</w:t>
      </w:r>
    </w:p>
    <w:p>
      <w:pPr>
        <w:pStyle w:val="Heading2"/>
        <w:jc w:val="right"/>
        <w:keepNext/>
        <w:bidi w:val="1"/>
      </w:pPr>
      <w:r>
        <w:rPr>
          <w:rFonts w:ascii="Arial" w:hAnsi="Arial" w:cs="Arial"/>
        </w:rPr>
        <w:t>المادة (22): الأصول والمخزون</w:t>
      </w:r>
    </w:p>
    <w:p>
      <w:pPr>
        <w:pStyle w:val="ListBullet"/>
        <w:spacing w:after="40"/>
        <w:ind w:left="288" w:right="360"/>
        <w:jc w:val="right"/>
        <w:bidi w:val="1"/>
      </w:pPr>
      <w:r>
        <w:rPr>
          <w:rFonts w:ascii="Arial" w:hAnsi="Arial" w:cs="Arial"/>
          <w:sz w:val="20"/>
        </w:rPr>
        <w:t>سجل موحد وترقيم وعهدة وموقع وحالة وقيمة وضمان لكل أصل.</w:t>
      </w:r>
    </w:p>
    <w:p>
      <w:pPr>
        <w:pStyle w:val="ListBullet"/>
        <w:spacing w:after="40"/>
        <w:ind w:left="288" w:right="360"/>
        <w:jc w:val="right"/>
        <w:bidi w:val="1"/>
      </w:pPr>
      <w:r>
        <w:rPr>
          <w:rFonts w:ascii="Arial" w:hAnsi="Arial" w:cs="Arial"/>
          <w:sz w:val="20"/>
        </w:rPr>
        <w:t>جرد دوري وسنوي من جهة مستقلة نسبيًا والتحقيق في الفروق.</w:t>
      </w:r>
    </w:p>
    <w:p>
      <w:pPr>
        <w:pStyle w:val="ListBullet"/>
        <w:spacing w:after="40"/>
        <w:ind w:left="288" w:right="360"/>
        <w:jc w:val="right"/>
        <w:bidi w:val="1"/>
      </w:pPr>
      <w:r>
        <w:rPr>
          <w:rFonts w:ascii="Arial" w:hAnsi="Arial" w:cs="Arial"/>
          <w:sz w:val="20"/>
        </w:rPr>
        <w:t>حماية مادية وتأمين عند الحاجة وصيانة وصلاحيات خروج ونقل.</w:t>
      </w:r>
    </w:p>
    <w:p>
      <w:pPr>
        <w:pStyle w:val="ListBullet"/>
        <w:spacing w:after="40"/>
        <w:ind w:left="288" w:right="360"/>
        <w:jc w:val="right"/>
        <w:bidi w:val="1"/>
      </w:pPr>
      <w:r>
        <w:rPr>
          <w:rFonts w:ascii="Arial" w:hAnsi="Arial" w:cs="Arial"/>
          <w:sz w:val="20"/>
        </w:rPr>
        <w:t>استبعاد أو بيع أو إتلاف وفق تقييم وصلاحية ومحضر ومراعاة تعارض المصالح.</w:t>
      </w:r>
    </w:p>
    <w:p>
      <w:pPr>
        <w:pStyle w:val="ListBullet"/>
        <w:spacing w:after="40"/>
        <w:ind w:left="288" w:right="360"/>
        <w:jc w:val="right"/>
        <w:bidi w:val="1"/>
      </w:pPr>
      <w:r>
        <w:rPr>
          <w:rFonts w:ascii="Arial" w:hAnsi="Arial" w:cs="Arial"/>
          <w:sz w:val="20"/>
        </w:rPr>
        <w:t>مخزون بقيود استلام وصرف ومرتجع وتالف وصلاحية وشروط حفظ.</w:t>
      </w:r>
    </w:p>
    <w:p>
      <w:pPr>
        <w:pStyle w:val="Heading2"/>
        <w:jc w:val="right"/>
        <w:keepNext/>
        <w:bidi w:val="1"/>
      </w:pPr>
      <w:r>
        <w:rPr>
          <w:rFonts w:ascii="Arial" w:hAnsi="Arial" w:cs="Arial"/>
        </w:rPr>
        <w:t>المادة (23): التقنية والبيانات</w:t>
      </w:r>
    </w:p>
    <w:p>
      <w:pPr>
        <w:pStyle w:val="ListBullet"/>
        <w:spacing w:after="40"/>
        <w:ind w:left="288" w:right="360"/>
        <w:jc w:val="right"/>
        <w:bidi w:val="1"/>
      </w:pPr>
      <w:r>
        <w:rPr>
          <w:rFonts w:ascii="Arial" w:hAnsi="Arial" w:cs="Arial"/>
          <w:sz w:val="20"/>
        </w:rPr>
        <w:t>حسابات فردية وصلاحيات على أساس الحاجة ومراجعة دورية وإلغاء فوري عند الانتهاء.</w:t>
      </w:r>
    </w:p>
    <w:p>
      <w:pPr>
        <w:pStyle w:val="ListBullet"/>
        <w:spacing w:after="40"/>
        <w:ind w:left="288" w:right="360"/>
        <w:jc w:val="right"/>
        <w:bidi w:val="1"/>
      </w:pPr>
      <w:r>
        <w:rPr>
          <w:rFonts w:ascii="Arial" w:hAnsi="Arial" w:cs="Arial"/>
          <w:sz w:val="20"/>
        </w:rPr>
        <w:t>فصل التطوير والتغيير عن الاعتماد والتشغيل، واختبار التغييرات قبل الإنتاج.</w:t>
      </w:r>
    </w:p>
    <w:p>
      <w:pPr>
        <w:pStyle w:val="ListBullet"/>
        <w:spacing w:after="40"/>
        <w:ind w:left="288" w:right="360"/>
        <w:jc w:val="right"/>
        <w:bidi w:val="1"/>
      </w:pPr>
      <w:r>
        <w:rPr>
          <w:rFonts w:ascii="Arial" w:hAnsi="Arial" w:cs="Arial"/>
          <w:sz w:val="20"/>
        </w:rPr>
        <w:t>نسخ احتياطية مشفرة واختبار استعادة وخطة استمرارية وتعافٍ من الكوارث.</w:t>
      </w:r>
    </w:p>
    <w:p>
      <w:pPr>
        <w:pStyle w:val="ListBullet"/>
        <w:spacing w:after="40"/>
        <w:ind w:left="288" w:right="360"/>
        <w:jc w:val="right"/>
        <w:bidi w:val="1"/>
      </w:pPr>
      <w:r>
        <w:rPr>
          <w:rFonts w:ascii="Arial" w:hAnsi="Arial" w:cs="Arial"/>
          <w:sz w:val="20"/>
        </w:rPr>
        <w:t>سجلات تدقيق غير قابلة للتعديل من المستخدم العادي ومراقبة محاولات الدخول والاستثناءات.</w:t>
      </w:r>
    </w:p>
    <w:p>
      <w:pPr>
        <w:pStyle w:val="ListBullet"/>
        <w:spacing w:after="40"/>
        <w:ind w:left="288" w:right="360"/>
        <w:jc w:val="right"/>
        <w:bidi w:val="1"/>
      </w:pPr>
      <w:r>
        <w:rPr>
          <w:rFonts w:ascii="Arial" w:hAnsi="Arial" w:cs="Arial"/>
          <w:sz w:val="20"/>
        </w:rPr>
        <w:t>إجراء للاستجابة للحوادث والتسربات يحدد التبليغ والاحتواء والتقييم والتوثيق.</w:t>
      </w:r>
    </w:p>
    <w:p>
      <w:pPr>
        <w:pStyle w:val="ListBullet"/>
        <w:spacing w:after="40"/>
        <w:ind w:left="288" w:right="360"/>
        <w:jc w:val="right"/>
        <w:bidi w:val="1"/>
      </w:pPr>
      <w:r>
        <w:rPr>
          <w:rFonts w:ascii="Arial" w:hAnsi="Arial" w:cs="Arial"/>
          <w:sz w:val="20"/>
        </w:rPr>
        <w:t>عدم إدخال بيانات سرية في أدوات تقنية أو ذكاء اصطناعي غير معتمدة.</w:t>
      </w:r>
    </w:p>
    <w:p>
      <w:pPr>
        <w:pStyle w:val="Heading2"/>
        <w:jc w:val="right"/>
        <w:keepNext/>
        <w:bidi w:val="1"/>
      </w:pPr>
      <w:r>
        <w:rPr>
          <w:rFonts w:ascii="Arial" w:hAnsi="Arial" w:cs="Arial"/>
        </w:rPr>
        <w:t>المادة (24): الحوكمة والقرارات</w:t>
      </w:r>
    </w:p>
    <w:p>
      <w:pPr>
        <w:pStyle w:val="ListBullet"/>
        <w:spacing w:after="40"/>
        <w:ind w:left="288" w:right="360"/>
        <w:jc w:val="right"/>
        <w:bidi w:val="1"/>
      </w:pPr>
      <w:r>
        <w:rPr>
          <w:rFonts w:ascii="Arial" w:hAnsi="Arial" w:cs="Arial"/>
          <w:sz w:val="20"/>
        </w:rPr>
        <w:t>اجتماعات بنصاب وجدول أعمال ومواد كافية وإفصاح تعارض قبل القرار.</w:t>
      </w:r>
    </w:p>
    <w:p>
      <w:pPr>
        <w:pStyle w:val="ListBullet"/>
        <w:spacing w:after="40"/>
        <w:ind w:left="288" w:right="360"/>
        <w:jc w:val="right"/>
        <w:bidi w:val="1"/>
      </w:pPr>
      <w:r>
        <w:rPr>
          <w:rFonts w:ascii="Arial" w:hAnsi="Arial" w:cs="Arial"/>
          <w:sz w:val="20"/>
        </w:rPr>
        <w:t>محاضر تبين الحضور والمناقشة والقرار والتصويت والتكليف والموعد.</w:t>
      </w:r>
    </w:p>
    <w:p>
      <w:pPr>
        <w:pStyle w:val="ListBullet"/>
        <w:spacing w:after="40"/>
        <w:ind w:left="288" w:right="360"/>
        <w:jc w:val="right"/>
        <w:bidi w:val="1"/>
      </w:pPr>
      <w:r>
        <w:rPr>
          <w:rFonts w:ascii="Arial" w:hAnsi="Arial" w:cs="Arial"/>
          <w:sz w:val="20"/>
        </w:rPr>
        <w:t>سجل قرارات ومتابعة تنفيذ مع أدلة وإقفال من صاحب الصلاحية.</w:t>
      </w:r>
    </w:p>
    <w:p>
      <w:pPr>
        <w:pStyle w:val="ListBullet"/>
        <w:spacing w:after="40"/>
        <w:ind w:left="288" w:right="360"/>
        <w:jc w:val="right"/>
        <w:bidi w:val="1"/>
      </w:pPr>
      <w:r>
        <w:rPr>
          <w:rFonts w:ascii="Arial" w:hAnsi="Arial" w:cs="Arial"/>
          <w:sz w:val="20"/>
        </w:rPr>
        <w:t>استلام وتسليم موثق بين المجالس والقيادات وحفظ النسخ الرسمية.</w:t>
      </w:r>
    </w:p>
    <w:p>
      <w:pPr>
        <w:pStyle w:val="ListBullet"/>
        <w:spacing w:after="40"/>
        <w:ind w:left="288" w:right="360"/>
        <w:jc w:val="right"/>
        <w:bidi w:val="1"/>
      </w:pPr>
      <w:r>
        <w:rPr>
          <w:rFonts w:ascii="Arial" w:hAnsi="Arial" w:cs="Arial"/>
          <w:sz w:val="20"/>
        </w:rPr>
        <w:t>لا تمارس أي لجنة صلاحية إلا بقرار تشكيل نافذ وميثاق يحدد اختصاصها ومدتها وتقاريرها.</w:t>
      </w:r>
    </w:p>
    <w:p>
      <w:pPr>
        <w:pStyle w:val="Heading1"/>
        <w:jc w:val="right"/>
        <w:keepNext/>
        <w:bidi w:val="1"/>
      </w:pPr>
      <w:r>
        <w:rPr>
          <w:rFonts w:ascii="Arial" w:hAnsi="Arial" w:cs="Arial"/>
        </w:rPr>
        <w:t>الفصل الخامس: إدارة الاحتيال والمخالفات</w:t>
      </w:r>
    </w:p>
    <w:p>
      <w:pPr>
        <w:pStyle w:val="Heading2"/>
        <w:jc w:val="right"/>
        <w:keepNext/>
        <w:bidi w:val="1"/>
      </w:pPr>
      <w:r>
        <w:rPr>
          <w:rFonts w:ascii="Arial" w:hAnsi="Arial" w:cs="Arial"/>
        </w:rPr>
        <w:t>المادة (25): منع الاحتيال والفساد</w:t>
      </w:r>
    </w:p>
    <w:p>
      <w:pPr>
        <w:pStyle w:val="ListBullet"/>
        <w:spacing w:after="40"/>
        <w:ind w:left="288" w:right="360"/>
        <w:jc w:val="right"/>
        <w:bidi w:val="1"/>
      </w:pPr>
      <w:r>
        <w:rPr>
          <w:rFonts w:ascii="Arial" w:hAnsi="Arial" w:cs="Arial"/>
          <w:sz w:val="20"/>
        </w:rPr>
        <w:t>تحظر الرشوة والاختلاس والتزوير والتلاعب واستغلال النفوذ وإساءة استخدام الموارد والمعلومات.</w:t>
      </w:r>
    </w:p>
    <w:p>
      <w:pPr>
        <w:pStyle w:val="ListBullet"/>
        <w:spacing w:after="40"/>
        <w:ind w:left="288" w:right="360"/>
        <w:jc w:val="right"/>
        <w:bidi w:val="1"/>
      </w:pPr>
      <w:r>
        <w:rPr>
          <w:rFonts w:ascii="Arial" w:hAnsi="Arial" w:cs="Arial"/>
          <w:sz w:val="20"/>
        </w:rPr>
        <w:t>يجري تقييم دوري لمخاطر الاحتيال وسيناريوهاته، بما فيها تواطؤ الموظف مع طرف خارجي.</w:t>
      </w:r>
    </w:p>
    <w:p>
      <w:pPr>
        <w:pStyle w:val="ListBullet"/>
        <w:spacing w:after="40"/>
        <w:ind w:left="288" w:right="360"/>
        <w:jc w:val="right"/>
        <w:bidi w:val="1"/>
      </w:pPr>
      <w:r>
        <w:rPr>
          <w:rFonts w:ascii="Arial" w:hAnsi="Arial" w:cs="Arial"/>
          <w:sz w:val="20"/>
        </w:rPr>
        <w:t>تراقب مؤشرات مثل تجزئة العمليات، المورد الوهمي، تكرار الفاتورة، تغيير الحساب، والقيود غير المعتادة.</w:t>
      </w:r>
    </w:p>
    <w:p>
      <w:pPr>
        <w:pStyle w:val="ListBullet"/>
        <w:spacing w:after="40"/>
        <w:ind w:left="288" w:right="360"/>
        <w:jc w:val="right"/>
        <w:bidi w:val="1"/>
      </w:pPr>
      <w:r>
        <w:rPr>
          <w:rFonts w:ascii="Arial" w:hAnsi="Arial" w:cs="Arial"/>
          <w:sz w:val="20"/>
        </w:rPr>
        <w:t>تطبق سياسة تعارض المصالح والميثاق الأخلاقي وضوابط الهدايا والعناية الواجبة.</w:t>
      </w:r>
    </w:p>
    <w:p>
      <w:pPr>
        <w:pStyle w:val="ListBullet"/>
        <w:spacing w:after="40"/>
        <w:ind w:left="288" w:right="360"/>
        <w:jc w:val="right"/>
        <w:bidi w:val="1"/>
      </w:pPr>
      <w:r>
        <w:rPr>
          <w:rFonts w:ascii="Arial" w:hAnsi="Arial" w:cs="Arial"/>
          <w:sz w:val="20"/>
        </w:rPr>
        <w:t>لا يمنع رد المبلغ أو تصحيح القيد من توثيق الواقعة والتحقق من سببها ومسؤوليتها.</w:t>
      </w:r>
    </w:p>
    <w:p>
      <w:pPr>
        <w:pStyle w:val="Heading2"/>
        <w:jc w:val="right"/>
        <w:keepNext/>
        <w:bidi w:val="1"/>
      </w:pPr>
      <w:r>
        <w:rPr>
          <w:rFonts w:ascii="Arial" w:hAnsi="Arial" w:cs="Arial"/>
        </w:rPr>
        <w:t>المادة (26): الإبلاغ والحماية</w:t>
      </w:r>
    </w:p>
    <w:p>
      <w:pPr>
        <w:pStyle w:val="ListBullet"/>
        <w:spacing w:after="40"/>
        <w:ind w:left="288" w:right="360"/>
        <w:jc w:val="right"/>
        <w:bidi w:val="1"/>
      </w:pPr>
      <w:r>
        <w:rPr>
          <w:rFonts w:ascii="Arial" w:hAnsi="Arial" w:cs="Arial"/>
          <w:sz w:val="20"/>
        </w:rPr>
        <w:t>تتاح قنوات معلنة وآمنة للإبلاغ والاستفسار، بما يسمح بالسرية حسب السياسة.</w:t>
      </w:r>
    </w:p>
    <w:p>
      <w:pPr>
        <w:pStyle w:val="ListBullet"/>
        <w:spacing w:after="40"/>
        <w:ind w:left="288" w:right="360"/>
        <w:jc w:val="right"/>
        <w:bidi w:val="1"/>
      </w:pPr>
      <w:r>
        <w:rPr>
          <w:rFonts w:ascii="Arial" w:hAnsi="Arial" w:cs="Arial"/>
          <w:sz w:val="20"/>
        </w:rPr>
        <w:t>يحظر الانتقام من المبلغ أو الشاهد أو من يرفض أمرًا غير مشروع.</w:t>
      </w:r>
    </w:p>
    <w:p>
      <w:pPr>
        <w:pStyle w:val="ListBullet"/>
        <w:spacing w:after="40"/>
        <w:ind w:left="288" w:right="360"/>
        <w:jc w:val="right"/>
        <w:bidi w:val="1"/>
      </w:pPr>
      <w:r>
        <w:rPr>
          <w:rFonts w:ascii="Arial" w:hAnsi="Arial" w:cs="Arial"/>
          <w:sz w:val="20"/>
        </w:rPr>
        <w:t>يحفظ المبلغ الأدلة ولا يجري تحقيقًا شخصيًا ولا ينبه المشتبه به.</w:t>
      </w:r>
    </w:p>
    <w:p>
      <w:pPr>
        <w:pStyle w:val="ListBullet"/>
        <w:spacing w:after="40"/>
        <w:ind w:left="288" w:right="360"/>
        <w:jc w:val="right"/>
        <w:bidi w:val="1"/>
      </w:pPr>
      <w:r>
        <w:rPr>
          <w:rFonts w:ascii="Arial" w:hAnsi="Arial" w:cs="Arial"/>
          <w:sz w:val="20"/>
        </w:rPr>
        <w:t>تقيّم البلاغات بسرعة ويعالج الخطر العاجل، ويستبعد من له تعارض.</w:t>
      </w:r>
    </w:p>
    <w:p>
      <w:pPr>
        <w:pStyle w:val="ListBullet"/>
        <w:spacing w:after="40"/>
        <w:ind w:left="288" w:right="360"/>
        <w:jc w:val="right"/>
        <w:bidi w:val="1"/>
      </w:pPr>
      <w:r>
        <w:rPr>
          <w:rFonts w:ascii="Arial" w:hAnsi="Arial" w:cs="Arial"/>
          <w:sz w:val="20"/>
        </w:rPr>
        <w:t>لا يشترط الإثبات قبل البلاغ؛ يكفي حسن النية وأساس معقول، مع مساءلة البلاغ الكيدي المثبت.</w:t>
      </w:r>
    </w:p>
    <w:p>
      <w:pPr>
        <w:pStyle w:val="Heading2"/>
        <w:jc w:val="right"/>
        <w:keepNext/>
        <w:bidi w:val="1"/>
      </w:pPr>
      <w:r>
        <w:rPr>
          <w:rFonts w:ascii="Arial" w:hAnsi="Arial" w:cs="Arial"/>
        </w:rPr>
        <w:t>المادة (27): التحقيق والإجراء التصحيحي</w:t>
      </w:r>
    </w:p>
    <w:p>
      <w:pPr>
        <w:spacing w:after="60"/>
        <w:ind w:right="288" w:hanging="288"/>
        <w:jc w:val="right"/>
        <w:bidi w:val="1"/>
      </w:pPr>
      <w:r>
        <w:rPr>
          <w:rFonts w:ascii="Arial" w:hAnsi="Arial" w:cs="Arial"/>
          <w:sz w:val="20"/>
        </w:rPr>
        <w:t>1. تسجيل الواقعة وتحديد مستوى السرية والخطر والإجراء العاجل.</w:t>
      </w:r>
    </w:p>
    <w:p>
      <w:pPr>
        <w:spacing w:after="60"/>
        <w:ind w:right="288" w:hanging="288"/>
        <w:jc w:val="right"/>
        <w:bidi w:val="1"/>
      </w:pPr>
      <w:r>
        <w:rPr>
          <w:rFonts w:ascii="Arial" w:hAnsi="Arial" w:cs="Arial"/>
          <w:sz w:val="20"/>
        </w:rPr>
        <w:t>2. تعيين جهة تحقق مستقلة ومؤهلة وتحديد النطاق وحماية الأدلة.</w:t>
      </w:r>
    </w:p>
    <w:p>
      <w:pPr>
        <w:spacing w:after="60"/>
        <w:ind w:right="288" w:hanging="288"/>
        <w:jc w:val="right"/>
        <w:bidi w:val="1"/>
      </w:pPr>
      <w:r>
        <w:rPr>
          <w:rFonts w:ascii="Arial" w:hAnsi="Arial" w:cs="Arial"/>
          <w:sz w:val="20"/>
        </w:rPr>
        <w:t>3. جمع الأدلة وسماع الأطراف وإتاحة الرد بما لا يضر السلامة أو التحقيق.</w:t>
      </w:r>
    </w:p>
    <w:p>
      <w:pPr>
        <w:spacing w:after="60"/>
        <w:ind w:right="288" w:hanging="288"/>
        <w:jc w:val="right"/>
        <w:bidi w:val="1"/>
      </w:pPr>
      <w:r>
        <w:rPr>
          <w:rFonts w:ascii="Arial" w:hAnsi="Arial" w:cs="Arial"/>
          <w:sz w:val="20"/>
        </w:rPr>
        <w:t>4. تحديد الواقعة والسبب الجذري والأثر والخسارة والمسؤولية وفجوة الضابط.</w:t>
      </w:r>
    </w:p>
    <w:p>
      <w:pPr>
        <w:spacing w:after="60"/>
        <w:ind w:right="288" w:hanging="288"/>
        <w:jc w:val="right"/>
        <w:bidi w:val="1"/>
      </w:pPr>
      <w:r>
        <w:rPr>
          <w:rFonts w:ascii="Arial" w:hAnsi="Arial" w:cs="Arial"/>
          <w:sz w:val="20"/>
        </w:rPr>
        <w:t>5. اتخاذ الإجراء الإداري أو التعاقدي أو النظامي من صاحب الصلاحية.</w:t>
      </w:r>
    </w:p>
    <w:p>
      <w:pPr>
        <w:spacing w:after="60"/>
        <w:ind w:right="288" w:hanging="288"/>
        <w:jc w:val="right"/>
        <w:bidi w:val="1"/>
      </w:pPr>
      <w:r>
        <w:rPr>
          <w:rFonts w:ascii="Arial" w:hAnsi="Arial" w:cs="Arial"/>
          <w:sz w:val="20"/>
        </w:rPr>
        <w:t>6. إنشاء خطة تصحيح واسترداد ومنع تكرار، مع مسؤول وموعد ومؤشر.</w:t>
      </w:r>
    </w:p>
    <w:p>
      <w:pPr>
        <w:spacing w:after="60"/>
        <w:ind w:right="288" w:hanging="288"/>
        <w:jc w:val="right"/>
        <w:bidi w:val="1"/>
      </w:pPr>
      <w:r>
        <w:rPr>
          <w:rFonts w:ascii="Arial" w:hAnsi="Arial" w:cs="Arial"/>
          <w:sz w:val="20"/>
        </w:rPr>
        <w:t>7. إعادة الاختبار وإغلاق الملاحظة بالدليل، ورفع الجوهرية لمجلس الإدارة والجهات المختصة عند اللزوم.</w:t>
      </w:r>
    </w:p>
    <w:p>
      <w:pPr>
        <w:pStyle w:val="Heading1"/>
        <w:jc w:val="right"/>
        <w:keepNext/>
        <w:bidi w:val="1"/>
      </w:pPr>
      <w:r>
        <w:rPr>
          <w:rFonts w:ascii="Arial" w:hAnsi="Arial" w:cs="Arial"/>
        </w:rPr>
        <w:t>الفصل السادس: خطة المراجعة وتنفيذها</w:t>
      </w:r>
    </w:p>
    <w:p>
      <w:pPr>
        <w:pStyle w:val="Heading2"/>
        <w:jc w:val="right"/>
        <w:keepNext/>
        <w:bidi w:val="1"/>
      </w:pPr>
      <w:r>
        <w:rPr>
          <w:rFonts w:ascii="Arial" w:hAnsi="Arial" w:cs="Arial"/>
        </w:rPr>
        <w:t>المادة (28): تقييم مخاطر المراجعة</w:t>
      </w:r>
    </w:p>
    <w:p>
      <w:pPr>
        <w:spacing w:after="80"/>
        <w:jc w:val="right"/>
        <w:bidi w:val="1"/>
      </w:pPr>
      <w:r>
        <w:rPr>
          <w:rFonts w:ascii="Arial" w:hAnsi="Arial" w:cs="Arial"/>
          <w:b w:val="0"/>
        </w:rPr>
        <w:t>يبنى نطاق المراجعة السنوي على تقييم موثق يغطي القيمة المالية، والأثر على المستفيدين، والتغير، والتعقيد، والامتثال، والاحتيال، والأنظمة، ونتائج المراجعات والحوادث السابقة. ولا يقتصر الاختيار على دورة زمنية ثابتة.</w:t>
      </w:r>
    </w:p>
    <w:p>
      <w:pPr>
        <w:pStyle w:val="Heading2"/>
        <w:jc w:val="right"/>
        <w:keepNext/>
        <w:bidi w:val="1"/>
      </w:pPr>
      <w:r>
        <w:rPr>
          <w:rFonts w:ascii="Arial" w:hAnsi="Arial" w:cs="Arial"/>
        </w:rPr>
        <w:t>المادة (29): الخطة السنوية</w:t>
      </w:r>
    </w:p>
    <w:p>
      <w:pPr>
        <w:pStyle w:val="ListBullet"/>
        <w:spacing w:after="40"/>
        <w:ind w:left="288" w:right="360"/>
        <w:jc w:val="right"/>
        <w:bidi w:val="1"/>
      </w:pPr>
      <w:r>
        <w:rPr>
          <w:rFonts w:ascii="Arial" w:hAnsi="Arial" w:cs="Arial"/>
          <w:sz w:val="20"/>
        </w:rPr>
        <w:t>تحدد الخطة العمليات أو الموضوعات، والهدف والنطاق والأولوية والموارد والتوقيت.</w:t>
      </w:r>
    </w:p>
    <w:p>
      <w:pPr>
        <w:pStyle w:val="ListBullet"/>
        <w:spacing w:after="40"/>
        <w:ind w:left="288" w:right="360"/>
        <w:jc w:val="right"/>
        <w:bidi w:val="1"/>
      </w:pPr>
      <w:r>
        <w:rPr>
          <w:rFonts w:ascii="Arial" w:hAnsi="Arial" w:cs="Arial"/>
          <w:sz w:val="20"/>
        </w:rPr>
        <w:t>تخصص وقتًا للمهام الطارئة والمتابعة والاستشارات دون إلغاء التأكيد المستقل.</w:t>
      </w:r>
    </w:p>
    <w:p>
      <w:pPr>
        <w:pStyle w:val="ListBullet"/>
        <w:spacing w:after="40"/>
        <w:ind w:left="288" w:right="360"/>
        <w:jc w:val="right"/>
        <w:bidi w:val="1"/>
      </w:pPr>
      <w:r>
        <w:rPr>
          <w:rFonts w:ascii="Arial" w:hAnsi="Arial" w:cs="Arial"/>
          <w:sz w:val="20"/>
        </w:rPr>
        <w:t>ترفع لمجلس الإدارة للاعتماد، ويبرر أي تعديل جوهري أو تأجيل.</w:t>
      </w:r>
    </w:p>
    <w:p>
      <w:pPr>
        <w:pStyle w:val="ListBullet"/>
        <w:spacing w:after="40"/>
        <w:ind w:left="288" w:right="360"/>
        <w:jc w:val="right"/>
        <w:bidi w:val="1"/>
      </w:pPr>
      <w:r>
        <w:rPr>
          <w:rFonts w:ascii="Arial" w:hAnsi="Arial" w:cs="Arial"/>
          <w:sz w:val="20"/>
        </w:rPr>
        <w:t>لا يتولى المراجع الداخلي إدارة الخطر أو تشغيل الضابط الذي سيراجعه.</w:t>
      </w:r>
    </w:p>
    <w:p>
      <w:pPr>
        <w:pStyle w:val="ListBullet"/>
        <w:spacing w:after="40"/>
        <w:ind w:left="288" w:right="360"/>
        <w:jc w:val="right"/>
        <w:bidi w:val="1"/>
      </w:pPr>
      <w:r>
        <w:rPr>
          <w:rFonts w:ascii="Arial" w:hAnsi="Arial" w:cs="Arial"/>
          <w:sz w:val="20"/>
        </w:rPr>
        <w:t>إذا استعانت الجمعية بجهة خارجية تحدد الاستقلالية والسرية والوصول والملكية والتقارير في العقد.</w:t>
      </w:r>
    </w:p>
    <w:p>
      <w:pPr>
        <w:pStyle w:val="Heading2"/>
        <w:jc w:val="right"/>
        <w:keepNext/>
        <w:bidi w:val="1"/>
      </w:pPr>
      <w:r>
        <w:rPr>
          <w:rFonts w:ascii="Arial" w:hAnsi="Arial" w:cs="Arial"/>
        </w:rPr>
        <w:t>المادة (30): تنفيذ المهمة والتقرير</w:t>
      </w:r>
    </w:p>
    <w:p>
      <w:pPr>
        <w:spacing w:after="60"/>
        <w:ind w:right="288" w:hanging="288"/>
        <w:jc w:val="right"/>
        <w:bidi w:val="1"/>
      </w:pPr>
      <w:r>
        <w:rPr>
          <w:rFonts w:ascii="Arial" w:hAnsi="Arial" w:cs="Arial"/>
          <w:sz w:val="20"/>
        </w:rPr>
        <w:t>1. إشعار الجهة بالنطاق والهدف والمدة مع عدم الإخلال بالمراجعة المفاجئة.</w:t>
      </w:r>
    </w:p>
    <w:p>
      <w:pPr>
        <w:spacing w:after="60"/>
        <w:ind w:right="288" w:hanging="288"/>
        <w:jc w:val="right"/>
        <w:bidi w:val="1"/>
      </w:pPr>
      <w:r>
        <w:rPr>
          <w:rFonts w:ascii="Arial" w:hAnsi="Arial" w:cs="Arial"/>
          <w:sz w:val="20"/>
        </w:rPr>
        <w:t>2. فهم العملية والمخاطر والضوابط وتحديد برنامج الاختبار والعينة.</w:t>
      </w:r>
    </w:p>
    <w:p>
      <w:pPr>
        <w:spacing w:after="60"/>
        <w:ind w:right="288" w:hanging="288"/>
        <w:jc w:val="right"/>
        <w:bidi w:val="1"/>
      </w:pPr>
      <w:r>
        <w:rPr>
          <w:rFonts w:ascii="Arial" w:hAnsi="Arial" w:cs="Arial"/>
          <w:sz w:val="20"/>
        </w:rPr>
        <w:t>3. جمع أدلة كافية وموثوقة وملائمة وتوثيق أوراق العمل.</w:t>
      </w:r>
    </w:p>
    <w:p>
      <w:pPr>
        <w:spacing w:after="60"/>
        <w:ind w:right="288" w:hanging="288"/>
        <w:jc w:val="right"/>
        <w:bidi w:val="1"/>
      </w:pPr>
      <w:r>
        <w:rPr>
          <w:rFonts w:ascii="Arial" w:hAnsi="Arial" w:cs="Arial"/>
          <w:sz w:val="20"/>
        </w:rPr>
        <w:t>4. مناقشة الوقائع مع الجهة دون التنازل عن الاستقلال أو حذف ملاحظة مثبتة.</w:t>
      </w:r>
    </w:p>
    <w:p>
      <w:pPr>
        <w:spacing w:after="60"/>
        <w:ind w:right="288" w:hanging="288"/>
        <w:jc w:val="right"/>
        <w:bidi w:val="1"/>
      </w:pPr>
      <w:r>
        <w:rPr>
          <w:rFonts w:ascii="Arial" w:hAnsi="Arial" w:cs="Arial"/>
          <w:sz w:val="20"/>
        </w:rPr>
        <w:t>5. تصنيف الملاحظة حسب الأثر والاحتمال والاستعجال، وبيان المعيار والوضع والسبب والأثر.</w:t>
      </w:r>
    </w:p>
    <w:p>
      <w:pPr>
        <w:spacing w:after="60"/>
        <w:ind w:right="288" w:hanging="288"/>
        <w:jc w:val="right"/>
        <w:bidi w:val="1"/>
      </w:pPr>
      <w:r>
        <w:rPr>
          <w:rFonts w:ascii="Arial" w:hAnsi="Arial" w:cs="Arial"/>
          <w:sz w:val="20"/>
        </w:rPr>
        <w:t>6. الاتفاق على الإجراء والمالك والموعد، وإثبات اختلاف الإدارة إن وجد.</w:t>
      </w:r>
    </w:p>
    <w:p>
      <w:pPr>
        <w:spacing w:after="60"/>
        <w:ind w:right="288" w:hanging="288"/>
        <w:jc w:val="right"/>
        <w:bidi w:val="1"/>
      </w:pPr>
      <w:r>
        <w:rPr>
          <w:rFonts w:ascii="Arial" w:hAnsi="Arial" w:cs="Arial"/>
          <w:sz w:val="20"/>
        </w:rPr>
        <w:t>7. رفع التقرير النهائي والقيود الجوهرية والتأخر إلى مجلس الإدارة.</w:t>
      </w:r>
    </w:p>
    <w:p>
      <w:pPr>
        <w:pStyle w:val="Heading2"/>
        <w:jc w:val="right"/>
        <w:keepNext/>
        <w:bidi w:val="1"/>
      </w:pPr>
      <w:r>
        <w:rPr>
          <w:rFonts w:ascii="Arial" w:hAnsi="Arial" w:cs="Arial"/>
        </w:rPr>
        <w:t>المادة (31): تصنيف الملاحظات</w:t>
      </w:r>
    </w:p>
    <w:tbl>
      <w:tblPr>
        <w:tblStyle w:val="TableGrid"/>
        <w:tblW w:type="dxa" w:w="8500"/>
        <w:jc w:val="center"/>
        <w:tblLayout w:type="fixed"/>
        <w:tblLook w:firstColumn="1" w:firstRow="1" w:lastColumn="0" w:lastRow="0" w:noHBand="0" w:noVBand="1" w:val="04A0"/>
        <w:tblInd w:w="0" w:type="dxa"/>
        <w:bidiVisual/>
      </w:tblPr>
      <w:tblGrid>
        <w:gridCol w:w="1400"/>
        <w:gridCol w:w="3500"/>
        <w:gridCol w:w="2200"/>
        <w:gridCol w:w="1400"/>
      </w:tblGrid>
      <w:tr>
        <w:trPr>
          <w:tblHeader w:val="true"/>
          <w:cantSplit/>
        </w:trPr>
        <w:tc>
          <w:tcPr>
            <w:tcW w:type="dxa" w:w="14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التصنيف</w:t>
            </w:r>
          </w:p>
        </w:tc>
        <w:tc>
          <w:tcPr>
            <w:tcW w:type="dxa" w:w="35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الوصف</w:t>
            </w:r>
          </w:p>
        </w:tc>
        <w:tc>
          <w:tcPr>
            <w:tcW w:type="dxa" w:w="22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التصعيد</w:t>
            </w:r>
          </w:p>
        </w:tc>
        <w:tc>
          <w:tcPr>
            <w:tcW w:type="dxa" w:w="14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المتابعة</w:t>
            </w:r>
          </w:p>
        </w:tc>
      </w:tr>
      <w:tr>
        <w:trPr>
          <w:cantSplit/>
        </w:trPr>
        <w:tc>
          <w:tcPr>
            <w:tcW w:type="dxa" w:w="1400"/>
            <w:tcMar>
              <w:top w:w="90" w:type="dxa"/>
              <w:start w:w="110" w:type="dxa"/>
              <w:bottom w:w="90" w:type="dxa"/>
              <w:end w:w="110" w:type="dxa"/>
            </w:tcMar>
            <w:vAlign w:val="center"/>
          </w:tcPr>
          <w:p>
            <w:pPr>
              <w:spacing w:before="40" w:after="40"/>
              <w:jc w:val="center"/>
              <w:bidi w:val="1"/>
            </w:pPr>
            <w:r>
              <w:rPr>
                <w:rFonts w:ascii="Arial" w:hAnsi="Arial" w:cs="Arial"/>
                <w:sz w:val="16"/>
              </w:rPr>
              <w:t>حرج</w:t>
            </w:r>
          </w:p>
        </w:tc>
        <w:tc>
          <w:tcPr>
            <w:tcW w:type="dxa" w:w="3500"/>
            <w:tcMar>
              <w:top w:w="90" w:type="dxa"/>
              <w:start w:w="110" w:type="dxa"/>
              <w:bottom w:w="90" w:type="dxa"/>
              <w:end w:w="110" w:type="dxa"/>
            </w:tcMar>
            <w:vAlign w:val="center"/>
          </w:tcPr>
          <w:p>
            <w:pPr>
              <w:spacing w:before="40" w:after="40"/>
              <w:jc w:val="right"/>
              <w:bidi w:val="1"/>
            </w:pPr>
            <w:r>
              <w:rPr>
                <w:rFonts w:ascii="Arial" w:hAnsi="Arial" w:cs="Arial"/>
                <w:sz w:val="16"/>
              </w:rPr>
              <w:t>تهديد فوري للأموال أو السلامة أو الامتثال أو الاستمرارية</w:t>
            </w:r>
          </w:p>
        </w:tc>
        <w:tc>
          <w:tcPr>
            <w:tcW w:type="dxa" w:w="2200"/>
            <w:tcMar>
              <w:top w:w="90" w:type="dxa"/>
              <w:start w:w="110" w:type="dxa"/>
              <w:bottom w:w="90" w:type="dxa"/>
              <w:end w:w="110" w:type="dxa"/>
            </w:tcMar>
            <w:vAlign w:val="center"/>
          </w:tcPr>
          <w:p>
            <w:pPr>
              <w:spacing w:before="40" w:after="40"/>
              <w:jc w:val="right"/>
              <w:bidi w:val="1"/>
            </w:pPr>
            <w:r>
              <w:rPr>
                <w:rFonts w:ascii="Arial" w:hAnsi="Arial" w:cs="Arial"/>
                <w:sz w:val="16"/>
              </w:rPr>
              <w:t>فوري لرئيس المجلس والإدارة والجهة المختصة عند اللزوم</w:t>
            </w:r>
          </w:p>
        </w:tc>
        <w:tc>
          <w:tcPr>
            <w:tcW w:type="dxa" w:w="1400"/>
            <w:tcMar>
              <w:top w:w="90" w:type="dxa"/>
              <w:start w:w="110" w:type="dxa"/>
              <w:bottom w:w="90" w:type="dxa"/>
              <w:end w:w="110" w:type="dxa"/>
            </w:tcMar>
            <w:vAlign w:val="center"/>
          </w:tcPr>
          <w:p>
            <w:pPr>
              <w:spacing w:before="40" w:after="40"/>
              <w:jc w:val="center"/>
              <w:bidi w:val="1"/>
            </w:pPr>
            <w:r>
              <w:rPr>
                <w:rFonts w:ascii="Arial" w:hAnsi="Arial" w:cs="Arial"/>
                <w:sz w:val="16"/>
              </w:rPr>
              <w:t>إجراء عاجل ومتابعة متقاربة</w:t>
            </w:r>
          </w:p>
        </w:tc>
      </w:tr>
      <w:tr>
        <w:trPr>
          <w:cantSplit/>
        </w:trPr>
        <w:tc>
          <w:tcPr>
            <w:tcW w:type="dxa" w:w="1400"/>
            <w:shd w:fill="F2F4F5"/>
            <w:tcMar>
              <w:top w:w="90" w:type="dxa"/>
              <w:start w:w="110" w:type="dxa"/>
              <w:bottom w:w="90" w:type="dxa"/>
              <w:end w:w="110" w:type="dxa"/>
            </w:tcMar>
            <w:vAlign w:val="center"/>
          </w:tcPr>
          <w:p>
            <w:pPr>
              <w:spacing w:before="40" w:after="40"/>
              <w:jc w:val="center"/>
              <w:bidi w:val="1"/>
            </w:pPr>
            <w:r>
              <w:rPr>
                <w:rFonts w:ascii="Arial" w:hAnsi="Arial" w:cs="Arial"/>
                <w:sz w:val="16"/>
              </w:rPr>
              <w:t>مرتفع</w:t>
            </w:r>
          </w:p>
        </w:tc>
        <w:tc>
          <w:tcPr>
            <w:tcW w:type="dxa" w:w="3500"/>
            <w:shd w:fill="F2F4F5"/>
            <w:tcMar>
              <w:top w:w="90" w:type="dxa"/>
              <w:start w:w="110" w:type="dxa"/>
              <w:bottom w:w="90" w:type="dxa"/>
              <w:end w:w="110" w:type="dxa"/>
            </w:tcMar>
            <w:vAlign w:val="center"/>
          </w:tcPr>
          <w:p>
            <w:pPr>
              <w:spacing w:before="40" w:after="40"/>
              <w:jc w:val="right"/>
              <w:bidi w:val="1"/>
            </w:pPr>
            <w:r>
              <w:rPr>
                <w:rFonts w:ascii="Arial" w:hAnsi="Arial" w:cs="Arial"/>
                <w:sz w:val="16"/>
              </w:rPr>
              <w:t>أثر كبير أو احتمال عالٍ أو ضابط رئيس غير فعال</w:t>
            </w:r>
          </w:p>
        </w:tc>
        <w:tc>
          <w:tcPr>
            <w:tcW w:type="dxa" w:w="2200"/>
            <w:shd w:fill="F2F4F5"/>
            <w:tcMar>
              <w:top w:w="90" w:type="dxa"/>
              <w:start w:w="110" w:type="dxa"/>
              <w:bottom w:w="90" w:type="dxa"/>
              <w:end w:w="110" w:type="dxa"/>
            </w:tcMar>
            <w:vAlign w:val="center"/>
          </w:tcPr>
          <w:p>
            <w:pPr>
              <w:spacing w:before="40" w:after="40"/>
              <w:jc w:val="right"/>
              <w:bidi w:val="1"/>
            </w:pPr>
            <w:r>
              <w:rPr>
                <w:rFonts w:ascii="Arial" w:hAnsi="Arial" w:cs="Arial"/>
                <w:sz w:val="16"/>
              </w:rPr>
              <w:t>مجلس الإدارة في أقرب اجتماع/فورًا حسب الأثر</w:t>
            </w:r>
          </w:p>
        </w:tc>
        <w:tc>
          <w:tcPr>
            <w:tcW w:type="dxa" w:w="1400"/>
            <w:shd w:fill="F2F4F5"/>
            <w:tcMar>
              <w:top w:w="90" w:type="dxa"/>
              <w:start w:w="110" w:type="dxa"/>
              <w:bottom w:w="90" w:type="dxa"/>
              <w:end w:w="110" w:type="dxa"/>
            </w:tcMar>
            <w:vAlign w:val="center"/>
          </w:tcPr>
          <w:p>
            <w:pPr>
              <w:spacing w:before="40" w:after="40"/>
              <w:jc w:val="center"/>
              <w:bidi w:val="1"/>
            </w:pPr>
            <w:r>
              <w:rPr>
                <w:rFonts w:ascii="Arial" w:hAnsi="Arial" w:cs="Arial"/>
                <w:sz w:val="16"/>
              </w:rPr>
              <w:t>شهري حتى الإغلاق</w:t>
            </w:r>
          </w:p>
        </w:tc>
      </w:tr>
      <w:tr>
        <w:trPr>
          <w:cantSplit/>
        </w:trPr>
        <w:tc>
          <w:tcPr>
            <w:tcW w:type="dxa" w:w="1400"/>
            <w:tcMar>
              <w:top w:w="90" w:type="dxa"/>
              <w:start w:w="110" w:type="dxa"/>
              <w:bottom w:w="90" w:type="dxa"/>
              <w:end w:w="110" w:type="dxa"/>
            </w:tcMar>
            <w:vAlign w:val="center"/>
          </w:tcPr>
          <w:p>
            <w:pPr>
              <w:spacing w:before="40" w:after="40"/>
              <w:jc w:val="center"/>
              <w:bidi w:val="1"/>
            </w:pPr>
            <w:r>
              <w:rPr>
                <w:rFonts w:ascii="Arial" w:hAnsi="Arial" w:cs="Arial"/>
                <w:sz w:val="16"/>
              </w:rPr>
              <w:t>متوسط</w:t>
            </w:r>
          </w:p>
        </w:tc>
        <w:tc>
          <w:tcPr>
            <w:tcW w:type="dxa" w:w="3500"/>
            <w:tcMar>
              <w:top w:w="90" w:type="dxa"/>
              <w:start w:w="110" w:type="dxa"/>
              <w:bottom w:w="90" w:type="dxa"/>
              <w:end w:w="110" w:type="dxa"/>
            </w:tcMar>
            <w:vAlign w:val="center"/>
          </w:tcPr>
          <w:p>
            <w:pPr>
              <w:spacing w:before="40" w:after="40"/>
              <w:jc w:val="right"/>
              <w:bidi w:val="1"/>
            </w:pPr>
            <w:r>
              <w:rPr>
                <w:rFonts w:ascii="Arial" w:hAnsi="Arial" w:cs="Arial"/>
                <w:sz w:val="16"/>
              </w:rPr>
              <w:t>فجوة مهمة لكنها محكومة جزئيًا</w:t>
            </w:r>
          </w:p>
        </w:tc>
        <w:tc>
          <w:tcPr>
            <w:tcW w:type="dxa" w:w="2200"/>
            <w:tcMar>
              <w:top w:w="90" w:type="dxa"/>
              <w:start w:w="110" w:type="dxa"/>
              <w:bottom w:w="90" w:type="dxa"/>
              <w:end w:w="110" w:type="dxa"/>
            </w:tcMar>
            <w:vAlign w:val="center"/>
          </w:tcPr>
          <w:p>
            <w:pPr>
              <w:spacing w:before="40" w:after="40"/>
              <w:jc w:val="right"/>
              <w:bidi w:val="1"/>
            </w:pPr>
            <w:r>
              <w:rPr>
                <w:rFonts w:ascii="Arial" w:hAnsi="Arial" w:cs="Arial"/>
                <w:sz w:val="16"/>
              </w:rPr>
              <w:t>الإدارة والمجلس ضمن التقرير الدوري</w:t>
            </w:r>
          </w:p>
        </w:tc>
        <w:tc>
          <w:tcPr>
            <w:tcW w:type="dxa" w:w="1400"/>
            <w:tcMar>
              <w:top w:w="90" w:type="dxa"/>
              <w:start w:w="110" w:type="dxa"/>
              <w:bottom w:w="90" w:type="dxa"/>
              <w:end w:w="110" w:type="dxa"/>
            </w:tcMar>
            <w:vAlign w:val="center"/>
          </w:tcPr>
          <w:p>
            <w:pPr>
              <w:spacing w:before="40" w:after="40"/>
              <w:jc w:val="center"/>
              <w:bidi w:val="1"/>
            </w:pPr>
            <w:r>
              <w:rPr>
                <w:rFonts w:ascii="Arial" w:hAnsi="Arial" w:cs="Arial"/>
                <w:sz w:val="16"/>
              </w:rPr>
              <w:t>ربع سنوي</w:t>
            </w:r>
          </w:p>
        </w:tc>
      </w:tr>
      <w:tr>
        <w:trPr>
          <w:cantSplit/>
        </w:trPr>
        <w:tc>
          <w:tcPr>
            <w:tcW w:type="dxa" w:w="1400"/>
            <w:shd w:fill="F2F4F5"/>
            <w:tcMar>
              <w:top w:w="90" w:type="dxa"/>
              <w:start w:w="110" w:type="dxa"/>
              <w:bottom w:w="90" w:type="dxa"/>
              <w:end w:w="110" w:type="dxa"/>
            </w:tcMar>
            <w:vAlign w:val="center"/>
          </w:tcPr>
          <w:p>
            <w:pPr>
              <w:spacing w:before="40" w:after="40"/>
              <w:jc w:val="center"/>
              <w:bidi w:val="1"/>
            </w:pPr>
            <w:r>
              <w:rPr>
                <w:rFonts w:ascii="Arial" w:hAnsi="Arial" w:cs="Arial"/>
                <w:sz w:val="16"/>
              </w:rPr>
              <w:t>منخفض</w:t>
            </w:r>
          </w:p>
        </w:tc>
        <w:tc>
          <w:tcPr>
            <w:tcW w:type="dxa" w:w="3500"/>
            <w:shd w:fill="F2F4F5"/>
            <w:tcMar>
              <w:top w:w="90" w:type="dxa"/>
              <w:start w:w="110" w:type="dxa"/>
              <w:bottom w:w="90" w:type="dxa"/>
              <w:end w:w="110" w:type="dxa"/>
            </w:tcMar>
            <w:vAlign w:val="center"/>
          </w:tcPr>
          <w:p>
            <w:pPr>
              <w:spacing w:before="40" w:after="40"/>
              <w:jc w:val="right"/>
              <w:bidi w:val="1"/>
            </w:pPr>
            <w:r>
              <w:rPr>
                <w:rFonts w:ascii="Arial" w:hAnsi="Arial" w:cs="Arial"/>
                <w:sz w:val="16"/>
              </w:rPr>
              <w:t>تحسين محدود أو أثر منخفض</w:t>
            </w:r>
          </w:p>
        </w:tc>
        <w:tc>
          <w:tcPr>
            <w:tcW w:type="dxa" w:w="2200"/>
            <w:shd w:fill="F2F4F5"/>
            <w:tcMar>
              <w:top w:w="90" w:type="dxa"/>
              <w:start w:w="110" w:type="dxa"/>
              <w:bottom w:w="90" w:type="dxa"/>
              <w:end w:w="110" w:type="dxa"/>
            </w:tcMar>
            <w:vAlign w:val="center"/>
          </w:tcPr>
          <w:p>
            <w:pPr>
              <w:spacing w:before="40" w:after="40"/>
              <w:jc w:val="right"/>
              <w:bidi w:val="1"/>
            </w:pPr>
            <w:r>
              <w:rPr>
                <w:rFonts w:ascii="Arial" w:hAnsi="Arial" w:cs="Arial"/>
                <w:sz w:val="16"/>
              </w:rPr>
              <w:t>مالك العملية والإدارة</w:t>
            </w:r>
          </w:p>
        </w:tc>
        <w:tc>
          <w:tcPr>
            <w:tcW w:type="dxa" w:w="1400"/>
            <w:shd w:fill="F2F4F5"/>
            <w:tcMar>
              <w:top w:w="90" w:type="dxa"/>
              <w:start w:w="110" w:type="dxa"/>
              <w:bottom w:w="90" w:type="dxa"/>
              <w:end w:w="110" w:type="dxa"/>
            </w:tcMar>
            <w:vAlign w:val="center"/>
          </w:tcPr>
          <w:p>
            <w:pPr>
              <w:spacing w:before="40" w:after="40"/>
              <w:jc w:val="center"/>
              <w:bidi w:val="1"/>
            </w:pPr>
            <w:r>
              <w:rPr>
                <w:rFonts w:ascii="Arial" w:hAnsi="Arial" w:cs="Arial"/>
                <w:sz w:val="16"/>
              </w:rPr>
              <w:t>في دورة المتابعة</w:t>
            </w:r>
          </w:p>
        </w:tc>
      </w:tr>
    </w:tbl>
    <w:p>
      <w:pPr>
        <w:pStyle w:val="Heading2"/>
        <w:jc w:val="right"/>
        <w:keepNext/>
        <w:bidi w:val="1"/>
      </w:pPr>
      <w:r>
        <w:rPr>
          <w:rFonts w:ascii="Arial" w:hAnsi="Arial" w:cs="Arial"/>
        </w:rPr>
        <w:t>المادة (32): إغلاق الملاحظات وقبول المخاطر</w:t>
      </w:r>
    </w:p>
    <w:p>
      <w:pPr>
        <w:pStyle w:val="ListBullet"/>
        <w:spacing w:after="40"/>
        <w:ind w:left="288" w:right="360"/>
        <w:jc w:val="right"/>
        <w:bidi w:val="1"/>
      </w:pPr>
      <w:r>
        <w:rPr>
          <w:rFonts w:ascii="Arial" w:hAnsi="Arial" w:cs="Arial"/>
          <w:sz w:val="20"/>
        </w:rPr>
        <w:t>لا تغلق الملاحظة برد كتابي فقط؛ يلزم دليل تنفيذ وإعادة اختبار كافٍ.</w:t>
      </w:r>
    </w:p>
    <w:p>
      <w:pPr>
        <w:pStyle w:val="ListBullet"/>
        <w:spacing w:after="40"/>
        <w:ind w:left="288" w:right="360"/>
        <w:jc w:val="right"/>
        <w:bidi w:val="1"/>
      </w:pPr>
      <w:r>
        <w:rPr>
          <w:rFonts w:ascii="Arial" w:hAnsi="Arial" w:cs="Arial"/>
          <w:sz w:val="20"/>
        </w:rPr>
        <w:t>إذا تعذر التنفيذ يقدم مالك العملية مبررًا وضابطًا بديلًا وخطرًا متبقيًا وتاريخًا جديدًا.</w:t>
      </w:r>
    </w:p>
    <w:p>
      <w:pPr>
        <w:pStyle w:val="ListBullet"/>
        <w:spacing w:after="40"/>
        <w:ind w:left="288" w:right="360"/>
        <w:jc w:val="right"/>
        <w:bidi w:val="1"/>
      </w:pPr>
      <w:r>
        <w:rPr>
          <w:rFonts w:ascii="Arial" w:hAnsi="Arial" w:cs="Arial"/>
          <w:sz w:val="20"/>
        </w:rPr>
        <w:t>قبول خطر مرتفع أو حرج من اختصاص مجلس الإدارة ولا يفوض ضمنيًا.</w:t>
      </w:r>
    </w:p>
    <w:p>
      <w:pPr>
        <w:pStyle w:val="ListBullet"/>
        <w:spacing w:after="40"/>
        <w:ind w:left="288" w:right="360"/>
        <w:jc w:val="right"/>
        <w:bidi w:val="1"/>
      </w:pPr>
      <w:r>
        <w:rPr>
          <w:rFonts w:ascii="Arial" w:hAnsi="Arial" w:cs="Arial"/>
          <w:sz w:val="20"/>
        </w:rPr>
        <w:t>ترفع الملاحظات المتأخرة والمتكررة وتناقش أسباب التعثر والمسؤولية.</w:t>
      </w:r>
    </w:p>
    <w:p>
      <w:pPr>
        <w:pStyle w:val="ListBullet"/>
        <w:spacing w:after="40"/>
        <w:ind w:left="288" w:right="360"/>
        <w:jc w:val="right"/>
        <w:bidi w:val="1"/>
      </w:pPr>
      <w:r>
        <w:rPr>
          <w:rFonts w:ascii="Arial" w:hAnsi="Arial" w:cs="Arial"/>
          <w:sz w:val="20"/>
        </w:rPr>
        <w:t>يحتفظ بسجل مركزي للملاحظات والقرارات وأدلة الإغلاق.</w:t>
      </w:r>
    </w:p>
    <w:p>
      <w:pPr>
        <w:pStyle w:val="Heading1"/>
        <w:jc w:val="right"/>
        <w:keepNext/>
        <w:bidi w:val="1"/>
      </w:pPr>
      <w:r>
        <w:rPr>
          <w:rFonts w:ascii="Arial" w:hAnsi="Arial" w:cs="Arial"/>
        </w:rPr>
        <w:t>الفصل السابع: التقارير والسجلات</w:t>
      </w:r>
    </w:p>
    <w:p>
      <w:pPr>
        <w:pStyle w:val="Heading2"/>
        <w:jc w:val="right"/>
        <w:keepNext/>
        <w:bidi w:val="1"/>
      </w:pPr>
      <w:r>
        <w:rPr>
          <w:rFonts w:ascii="Arial" w:hAnsi="Arial" w:cs="Arial"/>
        </w:rPr>
        <w:t>المادة (33): التقارير الرقابية</w:t>
      </w:r>
    </w:p>
    <w:tbl>
      <w:tblPr>
        <w:tblStyle w:val="TableGrid"/>
        <w:tblW w:type="dxa" w:w="8500"/>
        <w:jc w:val="center"/>
        <w:tblLayout w:type="fixed"/>
        <w:tblLook w:firstColumn="1" w:firstRow="1" w:lastColumn="0" w:lastRow="0" w:noHBand="0" w:noVBand="1" w:val="04A0"/>
        <w:tblInd w:w="0" w:type="dxa"/>
        <w:bidiVisual/>
      </w:tblPr>
      <w:tblGrid>
        <w:gridCol w:w="2000"/>
        <w:gridCol w:w="1600"/>
        <w:gridCol w:w="2000"/>
        <w:gridCol w:w="2900"/>
      </w:tblGrid>
      <w:tr>
        <w:trPr>
          <w:tblHeader w:val="true"/>
          <w:cantSplit/>
        </w:trPr>
        <w:tc>
          <w:tcPr>
            <w:tcW w:type="dxa" w:w="20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التقرير</w:t>
            </w:r>
          </w:p>
        </w:tc>
        <w:tc>
          <w:tcPr>
            <w:tcW w:type="dxa" w:w="16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الدورية</w:t>
            </w:r>
          </w:p>
        </w:tc>
        <w:tc>
          <w:tcPr>
            <w:tcW w:type="dxa" w:w="20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6"/>
              </w:rPr>
              <w:t>المتلقي</w:t>
            </w:r>
          </w:p>
        </w:tc>
        <w:tc>
          <w:tcPr>
            <w:tcW w:type="dxa" w:w="29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المحتوى</w:t>
            </w:r>
          </w:p>
        </w:tc>
      </w:tr>
      <w:tr>
        <w:trPr>
          <w:cantSplit/>
        </w:trPr>
        <w:tc>
          <w:tcPr>
            <w:tcW w:type="dxa" w:w="2000"/>
            <w:tcMar>
              <w:top w:w="90" w:type="dxa"/>
              <w:start w:w="110" w:type="dxa"/>
              <w:bottom w:w="90" w:type="dxa"/>
              <w:end w:w="110" w:type="dxa"/>
            </w:tcMar>
            <w:vAlign w:val="center"/>
          </w:tcPr>
          <w:p>
            <w:pPr>
              <w:spacing w:before="40" w:after="40"/>
              <w:jc w:val="center"/>
              <w:bidi w:val="1"/>
            </w:pPr>
            <w:r>
              <w:rPr>
                <w:rFonts w:ascii="Arial" w:hAnsi="Arial" w:cs="Arial"/>
                <w:sz w:val="16"/>
              </w:rPr>
              <w:t>المخاطر المؤسسية</w:t>
            </w:r>
          </w:p>
        </w:tc>
        <w:tc>
          <w:tcPr>
            <w:tcW w:type="dxa" w:w="1600"/>
            <w:tcMar>
              <w:top w:w="90" w:type="dxa"/>
              <w:start w:w="110" w:type="dxa"/>
              <w:bottom w:w="90" w:type="dxa"/>
              <w:end w:w="110" w:type="dxa"/>
            </w:tcMar>
            <w:vAlign w:val="center"/>
          </w:tcPr>
          <w:p>
            <w:pPr>
              <w:spacing w:before="40" w:after="40"/>
              <w:jc w:val="center"/>
              <w:bidi w:val="1"/>
            </w:pPr>
            <w:r>
              <w:rPr>
                <w:rFonts w:ascii="Arial" w:hAnsi="Arial" w:cs="Arial"/>
                <w:sz w:val="16"/>
              </w:rPr>
              <w:t>ربع سنوي وعند التغير</w:t>
            </w:r>
          </w:p>
        </w:tc>
        <w:tc>
          <w:tcPr>
            <w:tcW w:type="dxa" w:w="2000"/>
            <w:tcMar>
              <w:top w:w="90" w:type="dxa"/>
              <w:start w:w="110" w:type="dxa"/>
              <w:bottom w:w="90" w:type="dxa"/>
              <w:end w:w="110" w:type="dxa"/>
            </w:tcMar>
            <w:vAlign w:val="center"/>
          </w:tcPr>
          <w:p>
            <w:pPr>
              <w:spacing w:before="40" w:after="40"/>
              <w:jc w:val="center"/>
              <w:bidi w:val="1"/>
            </w:pPr>
            <w:r>
              <w:rPr>
                <w:rFonts w:ascii="Arial" w:hAnsi="Arial" w:cs="Arial"/>
                <w:sz w:val="16"/>
              </w:rPr>
              <w:t>الإدارة ومجلس الإدارة</w:t>
            </w:r>
          </w:p>
        </w:tc>
        <w:tc>
          <w:tcPr>
            <w:tcW w:type="dxa" w:w="2900"/>
            <w:tcMar>
              <w:top w:w="90" w:type="dxa"/>
              <w:start w:w="110" w:type="dxa"/>
              <w:bottom w:w="90" w:type="dxa"/>
              <w:end w:w="110" w:type="dxa"/>
            </w:tcMar>
            <w:vAlign w:val="center"/>
          </w:tcPr>
          <w:p>
            <w:pPr>
              <w:spacing w:before="40" w:after="40"/>
              <w:jc w:val="right"/>
              <w:bidi w:val="1"/>
            </w:pPr>
            <w:r>
              <w:rPr>
                <w:rFonts w:ascii="Arial" w:hAnsi="Arial" w:cs="Arial"/>
                <w:sz w:val="16"/>
              </w:rPr>
              <w:t>أعلى المخاطر، الاتجاه، المعالجة، التجاوز</w:t>
            </w:r>
          </w:p>
        </w:tc>
      </w:tr>
      <w:tr>
        <w:trPr>
          <w:cantSplit/>
        </w:trPr>
        <w:tc>
          <w:tcPr>
            <w:tcW w:type="dxa" w:w="2000"/>
            <w:shd w:fill="F2F4F5"/>
            <w:tcMar>
              <w:top w:w="90" w:type="dxa"/>
              <w:start w:w="110" w:type="dxa"/>
              <w:bottom w:w="90" w:type="dxa"/>
              <w:end w:w="110" w:type="dxa"/>
            </w:tcMar>
            <w:vAlign w:val="center"/>
          </w:tcPr>
          <w:p>
            <w:pPr>
              <w:spacing w:before="40" w:after="40"/>
              <w:jc w:val="center"/>
              <w:bidi w:val="1"/>
            </w:pPr>
            <w:r>
              <w:rPr>
                <w:rFonts w:ascii="Arial" w:hAnsi="Arial" w:cs="Arial"/>
                <w:sz w:val="16"/>
              </w:rPr>
              <w:t>تنفيذ خطة المراجعة</w:t>
            </w:r>
          </w:p>
        </w:tc>
        <w:tc>
          <w:tcPr>
            <w:tcW w:type="dxa" w:w="1600"/>
            <w:shd w:fill="F2F4F5"/>
            <w:tcMar>
              <w:top w:w="90" w:type="dxa"/>
              <w:start w:w="110" w:type="dxa"/>
              <w:bottom w:w="90" w:type="dxa"/>
              <w:end w:w="110" w:type="dxa"/>
            </w:tcMar>
            <w:vAlign w:val="center"/>
          </w:tcPr>
          <w:p>
            <w:pPr>
              <w:spacing w:before="40" w:after="40"/>
              <w:jc w:val="center"/>
              <w:bidi w:val="1"/>
            </w:pPr>
            <w:r>
              <w:rPr>
                <w:rFonts w:ascii="Arial" w:hAnsi="Arial" w:cs="Arial"/>
                <w:sz w:val="16"/>
              </w:rPr>
              <w:t>ربع سنوي</w:t>
            </w:r>
          </w:p>
        </w:tc>
        <w:tc>
          <w:tcPr>
            <w:tcW w:type="dxa" w:w="2000"/>
            <w:shd w:fill="F2F4F5"/>
            <w:tcMar>
              <w:top w:w="90" w:type="dxa"/>
              <w:start w:w="110" w:type="dxa"/>
              <w:bottom w:w="90" w:type="dxa"/>
              <w:end w:w="110" w:type="dxa"/>
            </w:tcMar>
            <w:vAlign w:val="center"/>
          </w:tcPr>
          <w:p>
            <w:pPr>
              <w:spacing w:before="40" w:after="40"/>
              <w:jc w:val="center"/>
              <w:bidi w:val="1"/>
            </w:pPr>
            <w:r>
              <w:rPr>
                <w:rFonts w:ascii="Arial" w:hAnsi="Arial" w:cs="Arial"/>
                <w:sz w:val="16"/>
              </w:rPr>
              <w:t>مجلس الإدارة</w:t>
            </w:r>
          </w:p>
        </w:tc>
        <w:tc>
          <w:tcPr>
            <w:tcW w:type="dxa" w:w="2900"/>
            <w:shd w:fill="F2F4F5"/>
            <w:tcMar>
              <w:top w:w="90" w:type="dxa"/>
              <w:start w:w="110" w:type="dxa"/>
              <w:bottom w:w="90" w:type="dxa"/>
              <w:end w:w="110" w:type="dxa"/>
            </w:tcMar>
            <w:vAlign w:val="center"/>
          </w:tcPr>
          <w:p>
            <w:pPr>
              <w:spacing w:before="40" w:after="40"/>
              <w:jc w:val="right"/>
              <w:bidi w:val="1"/>
            </w:pPr>
            <w:r>
              <w:rPr>
                <w:rFonts w:ascii="Arial" w:hAnsi="Arial" w:cs="Arial"/>
                <w:sz w:val="16"/>
              </w:rPr>
              <w:t>المنجز، المؤجل، الموارد، القيود</w:t>
            </w:r>
          </w:p>
        </w:tc>
      </w:tr>
      <w:tr>
        <w:trPr>
          <w:cantSplit/>
        </w:trPr>
        <w:tc>
          <w:tcPr>
            <w:tcW w:type="dxa" w:w="2000"/>
            <w:tcMar>
              <w:top w:w="90" w:type="dxa"/>
              <w:start w:w="110" w:type="dxa"/>
              <w:bottom w:w="90" w:type="dxa"/>
              <w:end w:w="110" w:type="dxa"/>
            </w:tcMar>
            <w:vAlign w:val="center"/>
          </w:tcPr>
          <w:p>
            <w:pPr>
              <w:spacing w:before="40" w:after="40"/>
              <w:jc w:val="center"/>
              <w:bidi w:val="1"/>
            </w:pPr>
            <w:r>
              <w:rPr>
                <w:rFonts w:ascii="Arial" w:hAnsi="Arial" w:cs="Arial"/>
                <w:sz w:val="16"/>
              </w:rPr>
              <w:t>الملاحظات والإجراءات</w:t>
            </w:r>
          </w:p>
        </w:tc>
        <w:tc>
          <w:tcPr>
            <w:tcW w:type="dxa" w:w="1600"/>
            <w:tcMar>
              <w:top w:w="90" w:type="dxa"/>
              <w:start w:w="110" w:type="dxa"/>
              <w:bottom w:w="90" w:type="dxa"/>
              <w:end w:w="110" w:type="dxa"/>
            </w:tcMar>
            <w:vAlign w:val="center"/>
          </w:tcPr>
          <w:p>
            <w:pPr>
              <w:spacing w:before="40" w:after="40"/>
              <w:jc w:val="center"/>
              <w:bidi w:val="1"/>
            </w:pPr>
            <w:r>
              <w:rPr>
                <w:rFonts w:ascii="Arial" w:hAnsi="Arial" w:cs="Arial"/>
                <w:sz w:val="16"/>
              </w:rPr>
              <w:t>شهري/ربع سنوي</w:t>
            </w:r>
          </w:p>
        </w:tc>
        <w:tc>
          <w:tcPr>
            <w:tcW w:type="dxa" w:w="2000"/>
            <w:tcMar>
              <w:top w:w="90" w:type="dxa"/>
              <w:start w:w="110" w:type="dxa"/>
              <w:bottom w:w="90" w:type="dxa"/>
              <w:end w:w="110" w:type="dxa"/>
            </w:tcMar>
            <w:vAlign w:val="center"/>
          </w:tcPr>
          <w:p>
            <w:pPr>
              <w:spacing w:before="40" w:after="40"/>
              <w:jc w:val="center"/>
              <w:bidi w:val="1"/>
            </w:pPr>
            <w:r>
              <w:rPr>
                <w:rFonts w:ascii="Arial" w:hAnsi="Arial" w:cs="Arial"/>
                <w:sz w:val="16"/>
              </w:rPr>
              <w:t>الإدارة والمجلس</w:t>
            </w:r>
          </w:p>
        </w:tc>
        <w:tc>
          <w:tcPr>
            <w:tcW w:type="dxa" w:w="2900"/>
            <w:tcMar>
              <w:top w:w="90" w:type="dxa"/>
              <w:start w:w="110" w:type="dxa"/>
              <w:bottom w:w="90" w:type="dxa"/>
              <w:end w:w="110" w:type="dxa"/>
            </w:tcMar>
            <w:vAlign w:val="center"/>
          </w:tcPr>
          <w:p>
            <w:pPr>
              <w:spacing w:before="40" w:after="40"/>
              <w:jc w:val="right"/>
              <w:bidi w:val="1"/>
            </w:pPr>
            <w:r>
              <w:rPr>
                <w:rFonts w:ascii="Arial" w:hAnsi="Arial" w:cs="Arial"/>
                <w:sz w:val="16"/>
              </w:rPr>
              <w:t>العمر، الدرجة، التأخر، الإغلاق</w:t>
            </w:r>
          </w:p>
        </w:tc>
      </w:tr>
      <w:tr>
        <w:trPr>
          <w:cantSplit/>
        </w:trPr>
        <w:tc>
          <w:tcPr>
            <w:tcW w:type="dxa" w:w="2000"/>
            <w:shd w:fill="F2F4F5"/>
            <w:tcMar>
              <w:top w:w="90" w:type="dxa"/>
              <w:start w:w="110" w:type="dxa"/>
              <w:bottom w:w="90" w:type="dxa"/>
              <w:end w:w="110" w:type="dxa"/>
            </w:tcMar>
            <w:vAlign w:val="center"/>
          </w:tcPr>
          <w:p>
            <w:pPr>
              <w:spacing w:before="40" w:after="40"/>
              <w:jc w:val="center"/>
              <w:bidi w:val="1"/>
            </w:pPr>
            <w:r>
              <w:rPr>
                <w:rFonts w:ascii="Arial" w:hAnsi="Arial" w:cs="Arial"/>
                <w:sz w:val="16"/>
              </w:rPr>
              <w:t>الحوادث والمخالفات</w:t>
            </w:r>
          </w:p>
        </w:tc>
        <w:tc>
          <w:tcPr>
            <w:tcW w:type="dxa" w:w="1600"/>
            <w:shd w:fill="F2F4F5"/>
            <w:tcMar>
              <w:top w:w="90" w:type="dxa"/>
              <w:start w:w="110" w:type="dxa"/>
              <w:bottom w:w="90" w:type="dxa"/>
              <w:end w:w="110" w:type="dxa"/>
            </w:tcMar>
            <w:vAlign w:val="center"/>
          </w:tcPr>
          <w:p>
            <w:pPr>
              <w:spacing w:before="40" w:after="40"/>
              <w:jc w:val="center"/>
              <w:bidi w:val="1"/>
            </w:pPr>
            <w:r>
              <w:rPr>
                <w:rFonts w:ascii="Arial" w:hAnsi="Arial" w:cs="Arial"/>
                <w:sz w:val="16"/>
              </w:rPr>
              <w:t>فورًا/مجمّع دوري</w:t>
            </w:r>
          </w:p>
        </w:tc>
        <w:tc>
          <w:tcPr>
            <w:tcW w:type="dxa" w:w="2000"/>
            <w:shd w:fill="F2F4F5"/>
            <w:tcMar>
              <w:top w:w="90" w:type="dxa"/>
              <w:start w:w="110" w:type="dxa"/>
              <w:bottom w:w="90" w:type="dxa"/>
              <w:end w:w="110" w:type="dxa"/>
            </w:tcMar>
            <w:vAlign w:val="center"/>
          </w:tcPr>
          <w:p>
            <w:pPr>
              <w:spacing w:before="40" w:after="40"/>
              <w:jc w:val="center"/>
              <w:bidi w:val="1"/>
            </w:pPr>
            <w:r>
              <w:rPr>
                <w:rFonts w:ascii="Arial" w:hAnsi="Arial" w:cs="Arial"/>
                <w:sz w:val="16"/>
              </w:rPr>
              <w:t>رئيس المجلس/المجلس</w:t>
            </w:r>
          </w:p>
        </w:tc>
        <w:tc>
          <w:tcPr>
            <w:tcW w:type="dxa" w:w="2900"/>
            <w:shd w:fill="F2F4F5"/>
            <w:tcMar>
              <w:top w:w="90" w:type="dxa"/>
              <w:start w:w="110" w:type="dxa"/>
              <w:bottom w:w="90" w:type="dxa"/>
              <w:end w:w="110" w:type="dxa"/>
            </w:tcMar>
            <w:vAlign w:val="center"/>
          </w:tcPr>
          <w:p>
            <w:pPr>
              <w:spacing w:before="40" w:after="40"/>
              <w:jc w:val="right"/>
              <w:bidi w:val="1"/>
            </w:pPr>
            <w:r>
              <w:rPr>
                <w:rFonts w:ascii="Arial" w:hAnsi="Arial" w:cs="Arial"/>
                <w:sz w:val="16"/>
              </w:rPr>
              <w:t>الواقعة، الأثر، الإجراء، السبب</w:t>
            </w:r>
          </w:p>
        </w:tc>
      </w:tr>
      <w:tr>
        <w:trPr>
          <w:cantSplit/>
        </w:trPr>
        <w:tc>
          <w:tcPr>
            <w:tcW w:type="dxa" w:w="2000"/>
            <w:tcMar>
              <w:top w:w="90" w:type="dxa"/>
              <w:start w:w="110" w:type="dxa"/>
              <w:bottom w:w="90" w:type="dxa"/>
              <w:end w:w="110" w:type="dxa"/>
            </w:tcMar>
            <w:vAlign w:val="center"/>
          </w:tcPr>
          <w:p>
            <w:pPr>
              <w:spacing w:before="40" w:after="40"/>
              <w:jc w:val="center"/>
              <w:bidi w:val="1"/>
            </w:pPr>
            <w:r>
              <w:rPr>
                <w:rFonts w:ascii="Arial" w:hAnsi="Arial" w:cs="Arial"/>
                <w:sz w:val="16"/>
              </w:rPr>
              <w:t>فعالية الرقابة</w:t>
            </w:r>
          </w:p>
        </w:tc>
        <w:tc>
          <w:tcPr>
            <w:tcW w:type="dxa" w:w="1600"/>
            <w:tcMar>
              <w:top w:w="90" w:type="dxa"/>
              <w:start w:w="110" w:type="dxa"/>
              <w:bottom w:w="90" w:type="dxa"/>
              <w:end w:w="110" w:type="dxa"/>
            </w:tcMar>
            <w:vAlign w:val="center"/>
          </w:tcPr>
          <w:p>
            <w:pPr>
              <w:spacing w:before="40" w:after="40"/>
              <w:jc w:val="center"/>
              <w:bidi w:val="1"/>
            </w:pPr>
            <w:r>
              <w:rPr>
                <w:rFonts w:ascii="Arial" w:hAnsi="Arial" w:cs="Arial"/>
                <w:sz w:val="16"/>
              </w:rPr>
              <w:t>سنوي</w:t>
            </w:r>
          </w:p>
        </w:tc>
        <w:tc>
          <w:tcPr>
            <w:tcW w:type="dxa" w:w="2000"/>
            <w:tcMar>
              <w:top w:w="90" w:type="dxa"/>
              <w:start w:w="110" w:type="dxa"/>
              <w:bottom w:w="90" w:type="dxa"/>
              <w:end w:w="110" w:type="dxa"/>
            </w:tcMar>
            <w:vAlign w:val="center"/>
          </w:tcPr>
          <w:p>
            <w:pPr>
              <w:spacing w:before="40" w:after="40"/>
              <w:jc w:val="center"/>
              <w:bidi w:val="1"/>
            </w:pPr>
            <w:r>
              <w:rPr>
                <w:rFonts w:ascii="Arial" w:hAnsi="Arial" w:cs="Arial"/>
                <w:sz w:val="16"/>
              </w:rPr>
              <w:t>مجلس الإدارة</w:t>
            </w:r>
          </w:p>
        </w:tc>
        <w:tc>
          <w:tcPr>
            <w:tcW w:type="dxa" w:w="2900"/>
            <w:tcMar>
              <w:top w:w="90" w:type="dxa"/>
              <w:start w:w="110" w:type="dxa"/>
              <w:bottom w:w="90" w:type="dxa"/>
              <w:end w:w="110" w:type="dxa"/>
            </w:tcMar>
            <w:vAlign w:val="center"/>
          </w:tcPr>
          <w:p>
            <w:pPr>
              <w:spacing w:before="40" w:after="40"/>
              <w:jc w:val="right"/>
              <w:bidi w:val="1"/>
            </w:pPr>
            <w:r>
              <w:rPr>
                <w:rFonts w:ascii="Arial" w:hAnsi="Arial" w:cs="Arial"/>
                <w:sz w:val="16"/>
              </w:rPr>
              <w:t>تقييم العناصر والفجوات وخطة التحسين</w:t>
            </w:r>
          </w:p>
        </w:tc>
      </w:tr>
    </w:tbl>
    <w:p>
      <w:pPr>
        <w:pStyle w:val="Heading2"/>
        <w:jc w:val="right"/>
        <w:keepNext/>
        <w:bidi w:val="1"/>
      </w:pPr>
      <w:r>
        <w:rPr>
          <w:rFonts w:ascii="Arial" w:hAnsi="Arial" w:cs="Arial"/>
        </w:rPr>
        <w:t>المادة (34): حفظ السجلات والسرية</w:t>
      </w:r>
    </w:p>
    <w:p>
      <w:pPr>
        <w:pStyle w:val="ListBullet"/>
        <w:spacing w:after="40"/>
        <w:ind w:left="288" w:right="360"/>
        <w:jc w:val="right"/>
        <w:bidi w:val="1"/>
      </w:pPr>
      <w:r>
        <w:rPr>
          <w:rFonts w:ascii="Arial" w:hAnsi="Arial" w:cs="Arial"/>
          <w:sz w:val="20"/>
        </w:rPr>
        <w:t>تحفظ خطط المراجعة وسجل المخاطر وأوراق العمل والتقارير والبلاغات والتحقيقات بصلاحيات مقيدة.</w:t>
      </w:r>
    </w:p>
    <w:p>
      <w:pPr>
        <w:pStyle w:val="ListBullet"/>
        <w:spacing w:after="40"/>
        <w:ind w:left="288" w:right="360"/>
        <w:jc w:val="right"/>
        <w:bidi w:val="1"/>
      </w:pPr>
      <w:r>
        <w:rPr>
          <w:rFonts w:ascii="Arial" w:hAnsi="Arial" w:cs="Arial"/>
          <w:sz w:val="20"/>
        </w:rPr>
        <w:t>تطبق سياسة حفظ السجلات والمدد النظامية، ويمنع الإتلاف عند وجود تحقيق أو نزاع أو مراجعة.</w:t>
      </w:r>
    </w:p>
    <w:p>
      <w:pPr>
        <w:pStyle w:val="ListBullet"/>
        <w:spacing w:after="40"/>
        <w:ind w:left="288" w:right="360"/>
        <w:jc w:val="right"/>
        <w:bidi w:val="1"/>
      </w:pPr>
      <w:r>
        <w:rPr>
          <w:rFonts w:ascii="Arial" w:hAnsi="Arial" w:cs="Arial"/>
          <w:sz w:val="20"/>
        </w:rPr>
        <w:t>لا تنشر نقاط الضعف أو اختبارات الرقابة أو المخاطر التفصيلية؛ ويجوز نشر بيان عام عن المنظومة.</w:t>
      </w:r>
    </w:p>
    <w:p>
      <w:pPr>
        <w:pStyle w:val="ListBullet"/>
        <w:spacing w:after="40"/>
        <w:ind w:left="288" w:right="360"/>
        <w:jc w:val="right"/>
        <w:bidi w:val="1"/>
      </w:pPr>
      <w:r>
        <w:rPr>
          <w:rFonts w:ascii="Arial" w:hAnsi="Arial" w:cs="Arial"/>
          <w:sz w:val="20"/>
        </w:rPr>
        <w:t>لا يطلع مالك العملية على هوية المبلغ أو تفاصيل لا يحتاجها لتنفيذ المعالجة.</w:t>
      </w:r>
    </w:p>
    <w:p>
      <w:pPr>
        <w:pStyle w:val="ListBullet"/>
        <w:spacing w:after="40"/>
        <w:ind w:left="288" w:right="360"/>
        <w:jc w:val="right"/>
        <w:bidi w:val="1"/>
      </w:pPr>
      <w:r>
        <w:rPr>
          <w:rFonts w:ascii="Arial" w:hAnsi="Arial" w:cs="Arial"/>
          <w:sz w:val="20"/>
        </w:rPr>
        <w:t>تنقل السجلات عند تغير المسؤول بمحضر واستلام آمن، وتلغى الصلاحيات فورًا.</w:t>
      </w:r>
    </w:p>
    <w:p>
      <w:pPr>
        <w:pStyle w:val="Heading1"/>
        <w:jc w:val="right"/>
        <w:keepNext/>
        <w:bidi w:val="1"/>
      </w:pPr>
      <w:r>
        <w:rPr>
          <w:rFonts w:ascii="Arial" w:hAnsi="Arial" w:cs="Arial"/>
        </w:rPr>
        <w:t>الفصل الثامن: أحكام ختامية</w:t>
      </w:r>
    </w:p>
    <w:p>
      <w:pPr>
        <w:pStyle w:val="Heading2"/>
        <w:jc w:val="right"/>
        <w:keepNext/>
        <w:bidi w:val="1"/>
      </w:pPr>
      <w:r>
        <w:rPr>
          <w:rFonts w:ascii="Arial" w:hAnsi="Arial" w:cs="Arial"/>
        </w:rPr>
        <w:t>المادة (35): الاستثناءات</w:t>
      </w:r>
    </w:p>
    <w:p>
      <w:pPr>
        <w:spacing w:after="80"/>
        <w:jc w:val="right"/>
        <w:bidi w:val="1"/>
      </w:pPr>
      <w:r>
        <w:rPr>
          <w:rFonts w:ascii="Arial" w:hAnsi="Arial" w:cs="Arial"/>
          <w:b w:val="0"/>
        </w:rPr>
        <w:t>لا يصرح باستثناء يخالف نظامًا أو اختصاصًا محجوزًا. ويكون الاستثناء التشغيلي مكتوبًا ومحددًا ومؤقتًا، ويبين الخطر والسبب والضابط التعويضي وصاحب الاعتماد وتاريخ الانتهاء، ويسجل ويراجع. وتعد كثرة الاستثناءات مؤشرًا على ضعف التصميم يستوجب المعالجة.</w:t>
      </w:r>
    </w:p>
    <w:p>
      <w:pPr>
        <w:pStyle w:val="Heading2"/>
        <w:jc w:val="right"/>
        <w:keepNext/>
        <w:bidi w:val="1"/>
      </w:pPr>
      <w:r>
        <w:rPr>
          <w:rFonts w:ascii="Arial" w:hAnsi="Arial" w:cs="Arial"/>
        </w:rPr>
        <w:t>المادة (36): المراجعة والنفاذ</w:t>
      </w:r>
    </w:p>
    <w:p>
      <w:pPr>
        <w:spacing w:after="80"/>
        <w:jc w:val="right"/>
        <w:bidi w:val="1"/>
      </w:pPr>
      <w:r>
        <w:rPr>
          <w:rFonts w:ascii="Arial" w:hAnsi="Arial" w:cs="Arial"/>
          <w:b w:val="0"/>
        </w:rPr>
        <w:t>يراجع النظام سنويًا أو عند تغير جوهري في الأنظمة أو الهيكل أو العمليات أو المخاطر. ويعمل به من تاريخ اعتماده، ويلغى ما يتعارض معه من تعليمات سابقة في نطاقه، دون المساس بالمتطلبات الأعلى في الأنظمة والسياسات المتخصصة.</w:t>
      </w:r>
    </w:p>
    <w:p>
      <w:pPr>
        <w:pStyle w:val="Heading1"/>
        <w:jc w:val="right"/>
        <w:keepNext/>
        <w:pageBreakBefore/>
        <w:bidi w:val="1"/>
      </w:pPr>
      <w:r>
        <w:rPr>
          <w:rFonts w:ascii="Arial" w:hAnsi="Arial" w:cs="Arial"/>
        </w:rPr>
        <w:t>الملحق (1): نموذج سجل المخاطر</w:t>
      </w:r>
    </w:p>
    <w:tbl>
      <w:tblPr>
        <w:tblStyle w:val="TableGrid"/>
        <w:tblW w:type="dxa" w:w="9500"/>
        <w:jc w:val="center"/>
        <w:tblLayout w:type="fixed"/>
        <w:tblLook w:firstColumn="1" w:firstRow="1" w:lastColumn="0" w:lastRow="0" w:noHBand="0" w:noVBand="1" w:val="04A0"/>
        <w:tblInd w:w="0" w:type="dxa"/>
        <w:bidiVisual/>
      </w:tblPr>
      <w:tblGrid>
        <w:gridCol w:w="400"/>
        <w:gridCol w:w="1200"/>
        <w:gridCol w:w="1200"/>
        <w:gridCol w:w="1000"/>
        <w:gridCol w:w="900"/>
        <w:gridCol w:w="700"/>
        <w:gridCol w:w="1300"/>
        <w:gridCol w:w="700"/>
        <w:gridCol w:w="800"/>
        <w:gridCol w:w="1300"/>
      </w:tblGrid>
      <w:tr>
        <w:trPr>
          <w:tblHeader w:val="true"/>
          <w:cantSplit/>
        </w:trPr>
        <w:tc>
          <w:tcPr>
            <w:tcW w:type="dxa" w:w="4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3"/>
              </w:rPr>
              <w:t>م</w:t>
            </w:r>
          </w:p>
        </w:tc>
        <w:tc>
          <w:tcPr>
            <w:tcW w:type="dxa" w:w="12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3"/>
              </w:rPr>
              <w:t>الهدف/العملية</w:t>
            </w:r>
          </w:p>
        </w:tc>
        <w:tc>
          <w:tcPr>
            <w:tcW w:type="dxa" w:w="12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3"/>
              </w:rPr>
              <w:t>الخطر</w:t>
            </w:r>
          </w:p>
        </w:tc>
        <w:tc>
          <w:tcPr>
            <w:tcW w:type="dxa" w:w="10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3"/>
              </w:rPr>
              <w:t>الأسباب</w:t>
            </w:r>
          </w:p>
        </w:tc>
        <w:tc>
          <w:tcPr>
            <w:tcW w:type="dxa" w:w="9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3"/>
              </w:rPr>
              <w:t>الأثر</w:t>
            </w:r>
          </w:p>
        </w:tc>
        <w:tc>
          <w:tcPr>
            <w:tcW w:type="dxa" w:w="7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3"/>
              </w:rPr>
              <w:t>الكامن</w:t>
            </w:r>
          </w:p>
        </w:tc>
        <w:tc>
          <w:tcPr>
            <w:tcW w:type="dxa" w:w="13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3"/>
              </w:rPr>
              <w:t>الضوابط</w:t>
            </w:r>
          </w:p>
        </w:tc>
        <w:tc>
          <w:tcPr>
            <w:tcW w:type="dxa" w:w="7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3"/>
              </w:rPr>
              <w:t>المتبقي</w:t>
            </w:r>
          </w:p>
        </w:tc>
        <w:tc>
          <w:tcPr>
            <w:tcW w:type="dxa" w:w="8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3"/>
              </w:rPr>
              <w:t>المالك</w:t>
            </w:r>
          </w:p>
        </w:tc>
        <w:tc>
          <w:tcPr>
            <w:tcW w:type="dxa" w:w="13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3"/>
              </w:rPr>
              <w:t>المعالجة</w:t>
            </w:r>
          </w:p>
        </w:tc>
      </w:tr>
      <w:tr>
        <w:trPr>
          <w:cantSplit/>
        </w:trPr>
        <w:tc>
          <w:tcPr>
            <w:tcW w:type="dxa" w:w="400"/>
            <w:tcMar>
              <w:top w:w="90" w:type="dxa"/>
              <w:start w:w="110" w:type="dxa"/>
              <w:bottom w:w="90" w:type="dxa"/>
              <w:end w:w="110" w:type="dxa"/>
            </w:tcMar>
            <w:vAlign w:val="center"/>
          </w:tcPr>
          <w:p>
            <w:pPr>
              <w:spacing w:before="40" w:after="40"/>
              <w:jc w:val="center"/>
              <w:bidi w:val="1"/>
            </w:pPr>
            <w:r>
              <w:rPr>
                <w:rFonts w:ascii="Arial" w:hAnsi="Arial" w:cs="Arial"/>
                <w:sz w:val="13"/>
              </w:rPr>
              <w:t>1</w:t>
            </w:r>
          </w:p>
        </w:tc>
        <w:tc>
          <w:tcPr>
            <w:tcW w:type="dxa" w:w="12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12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10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9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ح:.. أ:..</w:t>
            </w:r>
          </w:p>
        </w:tc>
        <w:tc>
          <w:tcPr>
            <w:tcW w:type="dxa" w:w="13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ح:.. أ:..</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300"/>
            <w:tcMar>
              <w:top w:w="90" w:type="dxa"/>
              <w:start w:w="110" w:type="dxa"/>
              <w:bottom w:w="90" w:type="dxa"/>
              <w:end w:w="110" w:type="dxa"/>
            </w:tcMar>
            <w:vAlign w:val="center"/>
          </w:tcPr>
          <w:p>
            <w:pPr>
              <w:spacing w:before="40" w:after="40"/>
              <w:jc w:val="right"/>
              <w:bidi w:val="1"/>
            </w:pPr>
            <w:r>
              <w:rPr>
                <w:rFonts w:ascii="Arial" w:hAnsi="Arial" w:cs="Arial"/>
                <w:sz w:val="13"/>
              </w:rPr>
              <w:t>........</w:t>
            </w:r>
          </w:p>
        </w:tc>
      </w:tr>
      <w:tr>
        <w:trPr>
          <w:cantSplit/>
        </w:trPr>
        <w:tc>
          <w:tcPr>
            <w:tcW w:type="dxa" w:w="400"/>
            <w:tcMar>
              <w:top w:w="90" w:type="dxa"/>
              <w:start w:w="110" w:type="dxa"/>
              <w:bottom w:w="90" w:type="dxa"/>
              <w:end w:w="110" w:type="dxa"/>
            </w:tcMar>
            <w:vAlign w:val="center"/>
          </w:tcPr>
          <w:p>
            <w:pPr>
              <w:spacing w:before="40" w:after="40"/>
              <w:jc w:val="center"/>
              <w:bidi w:val="1"/>
            </w:pPr>
            <w:r>
              <w:rPr>
                <w:rFonts w:ascii="Arial" w:hAnsi="Arial" w:cs="Arial"/>
                <w:sz w:val="13"/>
              </w:rPr>
              <w:t>2</w:t>
            </w:r>
          </w:p>
        </w:tc>
        <w:tc>
          <w:tcPr>
            <w:tcW w:type="dxa" w:w="12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12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10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9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ح:.. أ:..</w:t>
            </w:r>
          </w:p>
        </w:tc>
        <w:tc>
          <w:tcPr>
            <w:tcW w:type="dxa" w:w="13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ح:.. أ:..</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300"/>
            <w:tcMar>
              <w:top w:w="90" w:type="dxa"/>
              <w:start w:w="110" w:type="dxa"/>
              <w:bottom w:w="90" w:type="dxa"/>
              <w:end w:w="110" w:type="dxa"/>
            </w:tcMar>
            <w:vAlign w:val="center"/>
          </w:tcPr>
          <w:p>
            <w:pPr>
              <w:spacing w:before="40" w:after="40"/>
              <w:jc w:val="right"/>
              <w:bidi w:val="1"/>
            </w:pPr>
            <w:r>
              <w:rPr>
                <w:rFonts w:ascii="Arial" w:hAnsi="Arial" w:cs="Arial"/>
                <w:sz w:val="13"/>
              </w:rPr>
              <w:t>........</w:t>
            </w:r>
          </w:p>
        </w:tc>
      </w:tr>
      <w:tr>
        <w:trPr>
          <w:cantSplit/>
        </w:trPr>
        <w:tc>
          <w:tcPr>
            <w:tcW w:type="dxa" w:w="400"/>
            <w:tcMar>
              <w:top w:w="90" w:type="dxa"/>
              <w:start w:w="110" w:type="dxa"/>
              <w:bottom w:w="90" w:type="dxa"/>
              <w:end w:w="110" w:type="dxa"/>
            </w:tcMar>
            <w:vAlign w:val="center"/>
          </w:tcPr>
          <w:p>
            <w:pPr>
              <w:spacing w:before="40" w:after="40"/>
              <w:jc w:val="center"/>
              <w:bidi w:val="1"/>
            </w:pPr>
            <w:r>
              <w:rPr>
                <w:rFonts w:ascii="Arial" w:hAnsi="Arial" w:cs="Arial"/>
                <w:sz w:val="13"/>
              </w:rPr>
              <w:t>3</w:t>
            </w:r>
          </w:p>
        </w:tc>
        <w:tc>
          <w:tcPr>
            <w:tcW w:type="dxa" w:w="12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12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10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9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ح:.. أ:..</w:t>
            </w:r>
          </w:p>
        </w:tc>
        <w:tc>
          <w:tcPr>
            <w:tcW w:type="dxa" w:w="13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ح:.. أ:..</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300"/>
            <w:tcMar>
              <w:top w:w="90" w:type="dxa"/>
              <w:start w:w="110" w:type="dxa"/>
              <w:bottom w:w="90" w:type="dxa"/>
              <w:end w:w="110" w:type="dxa"/>
            </w:tcMar>
            <w:vAlign w:val="center"/>
          </w:tcPr>
          <w:p>
            <w:pPr>
              <w:spacing w:before="40" w:after="40"/>
              <w:jc w:val="right"/>
              <w:bidi w:val="1"/>
            </w:pPr>
            <w:r>
              <w:rPr>
                <w:rFonts w:ascii="Arial" w:hAnsi="Arial" w:cs="Arial"/>
                <w:sz w:val="13"/>
              </w:rPr>
              <w:t>........</w:t>
            </w:r>
          </w:p>
        </w:tc>
      </w:tr>
      <w:tr>
        <w:trPr>
          <w:cantSplit/>
        </w:trPr>
        <w:tc>
          <w:tcPr>
            <w:tcW w:type="dxa" w:w="400"/>
            <w:tcMar>
              <w:top w:w="90" w:type="dxa"/>
              <w:start w:w="110" w:type="dxa"/>
              <w:bottom w:w="90" w:type="dxa"/>
              <w:end w:w="110" w:type="dxa"/>
            </w:tcMar>
            <w:vAlign w:val="center"/>
          </w:tcPr>
          <w:p>
            <w:pPr>
              <w:spacing w:before="40" w:after="40"/>
              <w:jc w:val="center"/>
              <w:bidi w:val="1"/>
            </w:pPr>
            <w:r>
              <w:rPr>
                <w:rFonts w:ascii="Arial" w:hAnsi="Arial" w:cs="Arial"/>
                <w:sz w:val="13"/>
              </w:rPr>
              <w:t>4</w:t>
            </w:r>
          </w:p>
        </w:tc>
        <w:tc>
          <w:tcPr>
            <w:tcW w:type="dxa" w:w="12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12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10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9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ح:.. أ:..</w:t>
            </w:r>
          </w:p>
        </w:tc>
        <w:tc>
          <w:tcPr>
            <w:tcW w:type="dxa" w:w="13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ح:.. أ:..</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300"/>
            <w:tcMar>
              <w:top w:w="90" w:type="dxa"/>
              <w:start w:w="110" w:type="dxa"/>
              <w:bottom w:w="90" w:type="dxa"/>
              <w:end w:w="110" w:type="dxa"/>
            </w:tcMar>
            <w:vAlign w:val="center"/>
          </w:tcPr>
          <w:p>
            <w:pPr>
              <w:spacing w:before="40" w:after="40"/>
              <w:jc w:val="right"/>
              <w:bidi w:val="1"/>
            </w:pPr>
            <w:r>
              <w:rPr>
                <w:rFonts w:ascii="Arial" w:hAnsi="Arial" w:cs="Arial"/>
                <w:sz w:val="13"/>
              </w:rPr>
              <w:t>........</w:t>
            </w:r>
          </w:p>
        </w:tc>
      </w:tr>
      <w:tr>
        <w:trPr>
          <w:cantSplit/>
        </w:trPr>
        <w:tc>
          <w:tcPr>
            <w:tcW w:type="dxa" w:w="400"/>
            <w:tcMar>
              <w:top w:w="90" w:type="dxa"/>
              <w:start w:w="110" w:type="dxa"/>
              <w:bottom w:w="90" w:type="dxa"/>
              <w:end w:w="110" w:type="dxa"/>
            </w:tcMar>
            <w:vAlign w:val="center"/>
          </w:tcPr>
          <w:p>
            <w:pPr>
              <w:spacing w:before="40" w:after="40"/>
              <w:jc w:val="center"/>
              <w:bidi w:val="1"/>
            </w:pPr>
            <w:r>
              <w:rPr>
                <w:rFonts w:ascii="Arial" w:hAnsi="Arial" w:cs="Arial"/>
                <w:sz w:val="13"/>
              </w:rPr>
              <w:t>5</w:t>
            </w:r>
          </w:p>
        </w:tc>
        <w:tc>
          <w:tcPr>
            <w:tcW w:type="dxa" w:w="12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12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10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9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ح:.. أ:..</w:t>
            </w:r>
          </w:p>
        </w:tc>
        <w:tc>
          <w:tcPr>
            <w:tcW w:type="dxa" w:w="13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ح:.. أ:..</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300"/>
            <w:tcMar>
              <w:top w:w="90" w:type="dxa"/>
              <w:start w:w="110" w:type="dxa"/>
              <w:bottom w:w="90" w:type="dxa"/>
              <w:end w:w="110" w:type="dxa"/>
            </w:tcMar>
            <w:vAlign w:val="center"/>
          </w:tcPr>
          <w:p>
            <w:pPr>
              <w:spacing w:before="40" w:after="40"/>
              <w:jc w:val="right"/>
              <w:bidi w:val="1"/>
            </w:pPr>
            <w:r>
              <w:rPr>
                <w:rFonts w:ascii="Arial" w:hAnsi="Arial" w:cs="Arial"/>
                <w:sz w:val="13"/>
              </w:rPr>
              <w:t>........</w:t>
            </w:r>
          </w:p>
        </w:tc>
      </w:tr>
      <w:tr>
        <w:trPr>
          <w:cantSplit/>
        </w:trPr>
        <w:tc>
          <w:tcPr>
            <w:tcW w:type="dxa" w:w="400"/>
            <w:tcMar>
              <w:top w:w="90" w:type="dxa"/>
              <w:start w:w="110" w:type="dxa"/>
              <w:bottom w:w="90" w:type="dxa"/>
              <w:end w:w="110" w:type="dxa"/>
            </w:tcMar>
            <w:vAlign w:val="center"/>
          </w:tcPr>
          <w:p>
            <w:pPr>
              <w:spacing w:before="40" w:after="40"/>
              <w:jc w:val="center"/>
              <w:bidi w:val="1"/>
            </w:pPr>
            <w:r>
              <w:rPr>
                <w:rFonts w:ascii="Arial" w:hAnsi="Arial" w:cs="Arial"/>
                <w:sz w:val="13"/>
              </w:rPr>
              <w:t>6</w:t>
            </w:r>
          </w:p>
        </w:tc>
        <w:tc>
          <w:tcPr>
            <w:tcW w:type="dxa" w:w="12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12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10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9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ح:.. أ:..</w:t>
            </w:r>
          </w:p>
        </w:tc>
        <w:tc>
          <w:tcPr>
            <w:tcW w:type="dxa" w:w="13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ح:.. أ:..</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300"/>
            <w:tcMar>
              <w:top w:w="90" w:type="dxa"/>
              <w:start w:w="110" w:type="dxa"/>
              <w:bottom w:w="90" w:type="dxa"/>
              <w:end w:w="110" w:type="dxa"/>
            </w:tcMar>
            <w:vAlign w:val="center"/>
          </w:tcPr>
          <w:p>
            <w:pPr>
              <w:spacing w:before="40" w:after="40"/>
              <w:jc w:val="right"/>
              <w:bidi w:val="1"/>
            </w:pPr>
            <w:r>
              <w:rPr>
                <w:rFonts w:ascii="Arial" w:hAnsi="Arial" w:cs="Arial"/>
                <w:sz w:val="13"/>
              </w:rPr>
              <w:t>........</w:t>
            </w:r>
          </w:p>
        </w:tc>
      </w:tr>
    </w:tbl>
    <w:p>
      <w:pPr>
        <w:pStyle w:val="Heading1"/>
        <w:jc w:val="right"/>
        <w:keepNext/>
        <w:bidi w:val="1"/>
      </w:pPr>
      <w:r>
        <w:rPr>
          <w:rFonts w:ascii="Arial" w:hAnsi="Arial" w:cs="Arial"/>
        </w:rPr>
        <w:t>الملحق (2): نموذج خطة المراجعة السنوية</w:t>
      </w:r>
    </w:p>
    <w:tbl>
      <w:tblPr>
        <w:tblStyle w:val="TableGrid"/>
        <w:tblW w:type="dxa" w:w="8500"/>
        <w:jc w:val="center"/>
        <w:tblLayout w:type="fixed"/>
        <w:tblLook w:firstColumn="1" w:firstRow="1" w:lastColumn="0" w:lastRow="0" w:noHBand="0" w:noVBand="1" w:val="04A0"/>
        <w:tblInd w:w="0" w:type="dxa"/>
        <w:bidiVisual/>
      </w:tblPr>
      <w:tblGrid>
        <w:gridCol w:w="450"/>
        <w:gridCol w:w="1250"/>
        <w:gridCol w:w="1400"/>
        <w:gridCol w:w="1000"/>
        <w:gridCol w:w="1800"/>
        <w:gridCol w:w="900"/>
        <w:gridCol w:w="900"/>
        <w:gridCol w:w="800"/>
      </w:tblGrid>
      <w:tr>
        <w:trPr>
          <w:tblHeader w:val="true"/>
          <w:cantSplit/>
        </w:trPr>
        <w:tc>
          <w:tcPr>
            <w:tcW w:type="dxa" w:w="4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م</w:t>
            </w:r>
          </w:p>
        </w:tc>
        <w:tc>
          <w:tcPr>
            <w:tcW w:type="dxa" w:w="125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4"/>
              </w:rPr>
              <w:t>الموضوع</w:t>
            </w:r>
          </w:p>
        </w:tc>
        <w:tc>
          <w:tcPr>
            <w:tcW w:type="dxa" w:w="14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4"/>
              </w:rPr>
              <w:t>مبرر الاختيار</w:t>
            </w:r>
          </w:p>
        </w:tc>
        <w:tc>
          <w:tcPr>
            <w:tcW w:type="dxa" w:w="10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الأولوية</w:t>
            </w:r>
          </w:p>
        </w:tc>
        <w:tc>
          <w:tcPr>
            <w:tcW w:type="dxa" w:w="18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4"/>
              </w:rPr>
              <w:t>الهدف والنطاق</w:t>
            </w:r>
          </w:p>
        </w:tc>
        <w:tc>
          <w:tcPr>
            <w:tcW w:type="dxa" w:w="9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التوقيت</w:t>
            </w:r>
          </w:p>
        </w:tc>
        <w:tc>
          <w:tcPr>
            <w:tcW w:type="dxa" w:w="9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الموارد</w:t>
            </w:r>
          </w:p>
        </w:tc>
        <w:tc>
          <w:tcPr>
            <w:tcW w:type="dxa" w:w="8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الحالة</w:t>
            </w:r>
          </w:p>
        </w:tc>
      </w:tr>
      <w:tr>
        <w:trPr>
          <w:cantSplit/>
        </w:trPr>
        <w:tc>
          <w:tcPr>
            <w:tcW w:type="dxa" w:w="450"/>
            <w:tcMar>
              <w:top w:w="90" w:type="dxa"/>
              <w:start w:w="110" w:type="dxa"/>
              <w:bottom w:w="90" w:type="dxa"/>
              <w:end w:w="110" w:type="dxa"/>
            </w:tcMar>
            <w:vAlign w:val="center"/>
          </w:tcPr>
          <w:p>
            <w:pPr>
              <w:spacing w:before="40" w:after="40"/>
              <w:jc w:val="center"/>
              <w:bidi w:val="1"/>
            </w:pPr>
            <w:r>
              <w:rPr>
                <w:rFonts w:ascii="Arial" w:hAnsi="Arial" w:cs="Arial"/>
                <w:sz w:val="14"/>
              </w:rPr>
              <w:t>1</w:t>
            </w:r>
          </w:p>
        </w:tc>
        <w:tc>
          <w:tcPr>
            <w:tcW w:type="dxa" w:w="125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4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000"/>
            <w:tcMar>
              <w:top w:w="90" w:type="dxa"/>
              <w:start w:w="110" w:type="dxa"/>
              <w:bottom w:w="90" w:type="dxa"/>
              <w:end w:w="110" w:type="dxa"/>
            </w:tcMar>
            <w:vAlign w:val="center"/>
          </w:tcPr>
          <w:p>
            <w:pPr>
              <w:spacing w:before="40" w:after="40"/>
              <w:jc w:val="center"/>
              <w:bidi w:val="1"/>
            </w:pPr>
            <w:r>
              <w:rPr>
                <w:rFonts w:ascii="Arial" w:hAnsi="Arial" w:cs="Arial"/>
                <w:sz w:val="14"/>
              </w:rPr>
              <w:t>عالٍ/متوسط/منخفض</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4"/>
              </w:rPr>
              <w:t>........</w:t>
            </w:r>
          </w:p>
        </w:tc>
      </w:tr>
      <w:tr>
        <w:trPr>
          <w:cantSplit/>
        </w:trPr>
        <w:tc>
          <w:tcPr>
            <w:tcW w:type="dxa" w:w="450"/>
            <w:tcMar>
              <w:top w:w="90" w:type="dxa"/>
              <w:start w:w="110" w:type="dxa"/>
              <w:bottom w:w="90" w:type="dxa"/>
              <w:end w:w="110" w:type="dxa"/>
            </w:tcMar>
            <w:vAlign w:val="center"/>
          </w:tcPr>
          <w:p>
            <w:pPr>
              <w:spacing w:before="40" w:after="40"/>
              <w:jc w:val="center"/>
              <w:bidi w:val="1"/>
            </w:pPr>
            <w:r>
              <w:rPr>
                <w:rFonts w:ascii="Arial" w:hAnsi="Arial" w:cs="Arial"/>
                <w:sz w:val="14"/>
              </w:rPr>
              <w:t>2</w:t>
            </w:r>
          </w:p>
        </w:tc>
        <w:tc>
          <w:tcPr>
            <w:tcW w:type="dxa" w:w="125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4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000"/>
            <w:tcMar>
              <w:top w:w="90" w:type="dxa"/>
              <w:start w:w="110" w:type="dxa"/>
              <w:bottom w:w="90" w:type="dxa"/>
              <w:end w:w="110" w:type="dxa"/>
            </w:tcMar>
            <w:vAlign w:val="center"/>
          </w:tcPr>
          <w:p>
            <w:pPr>
              <w:spacing w:before="40" w:after="40"/>
              <w:jc w:val="center"/>
              <w:bidi w:val="1"/>
            </w:pPr>
            <w:r>
              <w:rPr>
                <w:rFonts w:ascii="Arial" w:hAnsi="Arial" w:cs="Arial"/>
                <w:sz w:val="14"/>
              </w:rPr>
              <w:t>عالٍ/متوسط/منخفض</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4"/>
              </w:rPr>
              <w:t>........</w:t>
            </w:r>
          </w:p>
        </w:tc>
      </w:tr>
      <w:tr>
        <w:trPr>
          <w:cantSplit/>
        </w:trPr>
        <w:tc>
          <w:tcPr>
            <w:tcW w:type="dxa" w:w="450"/>
            <w:tcMar>
              <w:top w:w="90" w:type="dxa"/>
              <w:start w:w="110" w:type="dxa"/>
              <w:bottom w:w="90" w:type="dxa"/>
              <w:end w:w="110" w:type="dxa"/>
            </w:tcMar>
            <w:vAlign w:val="center"/>
          </w:tcPr>
          <w:p>
            <w:pPr>
              <w:spacing w:before="40" w:after="40"/>
              <w:jc w:val="center"/>
              <w:bidi w:val="1"/>
            </w:pPr>
            <w:r>
              <w:rPr>
                <w:rFonts w:ascii="Arial" w:hAnsi="Arial" w:cs="Arial"/>
                <w:sz w:val="14"/>
              </w:rPr>
              <w:t>3</w:t>
            </w:r>
          </w:p>
        </w:tc>
        <w:tc>
          <w:tcPr>
            <w:tcW w:type="dxa" w:w="125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4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000"/>
            <w:tcMar>
              <w:top w:w="90" w:type="dxa"/>
              <w:start w:w="110" w:type="dxa"/>
              <w:bottom w:w="90" w:type="dxa"/>
              <w:end w:w="110" w:type="dxa"/>
            </w:tcMar>
            <w:vAlign w:val="center"/>
          </w:tcPr>
          <w:p>
            <w:pPr>
              <w:spacing w:before="40" w:after="40"/>
              <w:jc w:val="center"/>
              <w:bidi w:val="1"/>
            </w:pPr>
            <w:r>
              <w:rPr>
                <w:rFonts w:ascii="Arial" w:hAnsi="Arial" w:cs="Arial"/>
                <w:sz w:val="14"/>
              </w:rPr>
              <w:t>عالٍ/متوسط/منخفض</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4"/>
              </w:rPr>
              <w:t>........</w:t>
            </w:r>
          </w:p>
        </w:tc>
      </w:tr>
      <w:tr>
        <w:trPr>
          <w:cantSplit/>
        </w:trPr>
        <w:tc>
          <w:tcPr>
            <w:tcW w:type="dxa" w:w="450"/>
            <w:tcMar>
              <w:top w:w="90" w:type="dxa"/>
              <w:start w:w="110" w:type="dxa"/>
              <w:bottom w:w="90" w:type="dxa"/>
              <w:end w:w="110" w:type="dxa"/>
            </w:tcMar>
            <w:vAlign w:val="center"/>
          </w:tcPr>
          <w:p>
            <w:pPr>
              <w:spacing w:before="40" w:after="40"/>
              <w:jc w:val="center"/>
              <w:bidi w:val="1"/>
            </w:pPr>
            <w:r>
              <w:rPr>
                <w:rFonts w:ascii="Arial" w:hAnsi="Arial" w:cs="Arial"/>
                <w:sz w:val="14"/>
              </w:rPr>
              <w:t>4</w:t>
            </w:r>
          </w:p>
        </w:tc>
        <w:tc>
          <w:tcPr>
            <w:tcW w:type="dxa" w:w="125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4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000"/>
            <w:tcMar>
              <w:top w:w="90" w:type="dxa"/>
              <w:start w:w="110" w:type="dxa"/>
              <w:bottom w:w="90" w:type="dxa"/>
              <w:end w:w="110" w:type="dxa"/>
            </w:tcMar>
            <w:vAlign w:val="center"/>
          </w:tcPr>
          <w:p>
            <w:pPr>
              <w:spacing w:before="40" w:after="40"/>
              <w:jc w:val="center"/>
              <w:bidi w:val="1"/>
            </w:pPr>
            <w:r>
              <w:rPr>
                <w:rFonts w:ascii="Arial" w:hAnsi="Arial" w:cs="Arial"/>
                <w:sz w:val="14"/>
              </w:rPr>
              <w:t>عالٍ/متوسط/منخفض</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4"/>
              </w:rPr>
              <w:t>........</w:t>
            </w:r>
          </w:p>
        </w:tc>
      </w:tr>
      <w:tr>
        <w:trPr>
          <w:cantSplit/>
        </w:trPr>
        <w:tc>
          <w:tcPr>
            <w:tcW w:type="dxa" w:w="450"/>
            <w:tcMar>
              <w:top w:w="90" w:type="dxa"/>
              <w:start w:w="110" w:type="dxa"/>
              <w:bottom w:w="90" w:type="dxa"/>
              <w:end w:w="110" w:type="dxa"/>
            </w:tcMar>
            <w:vAlign w:val="center"/>
          </w:tcPr>
          <w:p>
            <w:pPr>
              <w:spacing w:before="40" w:after="40"/>
              <w:jc w:val="center"/>
              <w:bidi w:val="1"/>
            </w:pPr>
            <w:r>
              <w:rPr>
                <w:rFonts w:ascii="Arial" w:hAnsi="Arial" w:cs="Arial"/>
                <w:sz w:val="14"/>
              </w:rPr>
              <w:t>5</w:t>
            </w:r>
          </w:p>
        </w:tc>
        <w:tc>
          <w:tcPr>
            <w:tcW w:type="dxa" w:w="125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4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000"/>
            <w:tcMar>
              <w:top w:w="90" w:type="dxa"/>
              <w:start w:w="110" w:type="dxa"/>
              <w:bottom w:w="90" w:type="dxa"/>
              <w:end w:w="110" w:type="dxa"/>
            </w:tcMar>
            <w:vAlign w:val="center"/>
          </w:tcPr>
          <w:p>
            <w:pPr>
              <w:spacing w:before="40" w:after="40"/>
              <w:jc w:val="center"/>
              <w:bidi w:val="1"/>
            </w:pPr>
            <w:r>
              <w:rPr>
                <w:rFonts w:ascii="Arial" w:hAnsi="Arial" w:cs="Arial"/>
                <w:sz w:val="14"/>
              </w:rPr>
              <w:t>عالٍ/متوسط/منخفض</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4"/>
              </w:rPr>
              <w:t>........</w:t>
            </w:r>
          </w:p>
        </w:tc>
      </w:tr>
      <w:tr>
        <w:trPr>
          <w:cantSplit/>
        </w:trPr>
        <w:tc>
          <w:tcPr>
            <w:tcW w:type="dxa" w:w="450"/>
            <w:tcMar>
              <w:top w:w="90" w:type="dxa"/>
              <w:start w:w="110" w:type="dxa"/>
              <w:bottom w:w="90" w:type="dxa"/>
              <w:end w:w="110" w:type="dxa"/>
            </w:tcMar>
            <w:vAlign w:val="center"/>
          </w:tcPr>
          <w:p>
            <w:pPr>
              <w:spacing w:before="40" w:after="40"/>
              <w:jc w:val="center"/>
              <w:bidi w:val="1"/>
            </w:pPr>
            <w:r>
              <w:rPr>
                <w:rFonts w:ascii="Arial" w:hAnsi="Arial" w:cs="Arial"/>
                <w:sz w:val="14"/>
              </w:rPr>
              <w:t>6</w:t>
            </w:r>
          </w:p>
        </w:tc>
        <w:tc>
          <w:tcPr>
            <w:tcW w:type="dxa" w:w="125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4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000"/>
            <w:tcMar>
              <w:top w:w="90" w:type="dxa"/>
              <w:start w:w="110" w:type="dxa"/>
              <w:bottom w:w="90" w:type="dxa"/>
              <w:end w:w="110" w:type="dxa"/>
            </w:tcMar>
            <w:vAlign w:val="center"/>
          </w:tcPr>
          <w:p>
            <w:pPr>
              <w:spacing w:before="40" w:after="40"/>
              <w:jc w:val="center"/>
              <w:bidi w:val="1"/>
            </w:pPr>
            <w:r>
              <w:rPr>
                <w:rFonts w:ascii="Arial" w:hAnsi="Arial" w:cs="Arial"/>
                <w:sz w:val="14"/>
              </w:rPr>
              <w:t>عالٍ/متوسط/منخفض</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4"/>
              </w:rPr>
              <w:t>........</w:t>
            </w:r>
          </w:p>
        </w:tc>
      </w:tr>
    </w:tbl>
    <w:p>
      <w:pPr>
        <w:spacing w:after="80"/>
        <w:jc w:val="right"/>
        <w:bidi w:val="1"/>
      </w:pPr>
      <w:r>
        <w:rPr>
          <w:rFonts w:ascii="Arial" w:hAnsi="Arial" w:cs="Arial"/>
          <w:b w:val="0"/>
        </w:rPr>
        <w:t>إجمالي أيام/ساعات الخطة: ........................    احتياطي المهام الطارئة: ........................    اعتماد مجلس الإدارة: ........................</w:t>
      </w:r>
    </w:p>
    <w:p>
      <w:pPr>
        <w:pStyle w:val="Heading1"/>
        <w:jc w:val="right"/>
        <w:keepNext/>
        <w:bidi w:val="1"/>
      </w:pPr>
      <w:r>
        <w:rPr>
          <w:rFonts w:ascii="Arial" w:hAnsi="Arial" w:cs="Arial"/>
        </w:rPr>
        <w:t>الملحق (3): مصفوفة المخاطر والضوابط</w:t>
      </w:r>
    </w:p>
    <w:tbl>
      <w:tblPr>
        <w:tblStyle w:val="TableGrid"/>
        <w:tblW w:type="dxa" w:w="8900"/>
        <w:jc w:val="center"/>
        <w:tblLayout w:type="fixed"/>
        <w:tblLook w:firstColumn="1" w:firstRow="1" w:lastColumn="0" w:lastRow="0" w:noHBand="0" w:noVBand="1" w:val="04A0"/>
        <w:tblInd w:w="0" w:type="dxa"/>
        <w:bidiVisual/>
      </w:tblPr>
      <w:tblGrid>
        <w:gridCol w:w="1200"/>
        <w:gridCol w:w="1100"/>
        <w:gridCol w:w="1350"/>
        <w:gridCol w:w="1600"/>
        <w:gridCol w:w="1150"/>
        <w:gridCol w:w="900"/>
        <w:gridCol w:w="800"/>
        <w:gridCol w:w="800"/>
      </w:tblGrid>
      <w:tr>
        <w:trPr>
          <w:tblHeader w:val="true"/>
          <w:cantSplit/>
        </w:trPr>
        <w:tc>
          <w:tcPr>
            <w:tcW w:type="dxa" w:w="12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4"/>
              </w:rPr>
              <w:t>العملية</w:t>
            </w:r>
          </w:p>
        </w:tc>
        <w:tc>
          <w:tcPr>
            <w:tcW w:type="dxa" w:w="11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4"/>
              </w:rPr>
              <w:t>الهدف</w:t>
            </w:r>
          </w:p>
        </w:tc>
        <w:tc>
          <w:tcPr>
            <w:tcW w:type="dxa" w:w="135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4"/>
              </w:rPr>
              <w:t>الخطر</w:t>
            </w:r>
          </w:p>
        </w:tc>
        <w:tc>
          <w:tcPr>
            <w:tcW w:type="dxa" w:w="16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4"/>
              </w:rPr>
              <w:t>الضابط</w:t>
            </w:r>
          </w:p>
        </w:tc>
        <w:tc>
          <w:tcPr>
            <w:tcW w:type="dxa" w:w="11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النوع</w:t>
            </w:r>
          </w:p>
        </w:tc>
        <w:tc>
          <w:tcPr>
            <w:tcW w:type="dxa" w:w="9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المالك</w:t>
            </w:r>
          </w:p>
        </w:tc>
        <w:tc>
          <w:tcPr>
            <w:tcW w:type="dxa" w:w="8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الدورية</w:t>
            </w:r>
          </w:p>
        </w:tc>
        <w:tc>
          <w:tcPr>
            <w:tcW w:type="dxa" w:w="8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4"/>
              </w:rPr>
              <w:t>الدليل</w:t>
            </w:r>
          </w:p>
        </w:tc>
      </w:tr>
      <w:tr>
        <w:trPr>
          <w:cantSplit/>
        </w:trPr>
        <w:tc>
          <w:tcPr>
            <w:tcW w:type="dxa" w:w="12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35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6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150"/>
            <w:tcMar>
              <w:top w:w="90" w:type="dxa"/>
              <w:start w:w="110" w:type="dxa"/>
              <w:bottom w:w="90" w:type="dxa"/>
              <w:end w:w="110" w:type="dxa"/>
            </w:tcMar>
            <w:vAlign w:val="center"/>
          </w:tcPr>
          <w:p>
            <w:pPr>
              <w:spacing w:before="40" w:after="40"/>
              <w:jc w:val="center"/>
              <w:bidi w:val="1"/>
            </w:pPr>
            <w:r>
              <w:rPr>
                <w:rFonts w:ascii="Arial" w:hAnsi="Arial" w:cs="Arial"/>
                <w:sz w:val="14"/>
              </w:rPr>
              <w:t>وقائي/كاشف/تصحيحي</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right"/>
              <w:bidi w:val="1"/>
            </w:pPr>
            <w:r>
              <w:rPr>
                <w:rFonts w:ascii="Arial" w:hAnsi="Arial" w:cs="Arial"/>
                <w:sz w:val="14"/>
              </w:rPr>
              <w:t>........</w:t>
            </w:r>
          </w:p>
        </w:tc>
      </w:tr>
      <w:tr>
        <w:trPr>
          <w:cantSplit/>
        </w:trPr>
        <w:tc>
          <w:tcPr>
            <w:tcW w:type="dxa" w:w="12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35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6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150"/>
            <w:tcMar>
              <w:top w:w="90" w:type="dxa"/>
              <w:start w:w="110" w:type="dxa"/>
              <w:bottom w:w="90" w:type="dxa"/>
              <w:end w:w="110" w:type="dxa"/>
            </w:tcMar>
            <w:vAlign w:val="center"/>
          </w:tcPr>
          <w:p>
            <w:pPr>
              <w:spacing w:before="40" w:after="40"/>
              <w:jc w:val="center"/>
              <w:bidi w:val="1"/>
            </w:pPr>
            <w:r>
              <w:rPr>
                <w:rFonts w:ascii="Arial" w:hAnsi="Arial" w:cs="Arial"/>
                <w:sz w:val="14"/>
              </w:rPr>
              <w:t>وقائي/كاشف/تصحيحي</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right"/>
              <w:bidi w:val="1"/>
            </w:pPr>
            <w:r>
              <w:rPr>
                <w:rFonts w:ascii="Arial" w:hAnsi="Arial" w:cs="Arial"/>
                <w:sz w:val="14"/>
              </w:rPr>
              <w:t>........</w:t>
            </w:r>
          </w:p>
        </w:tc>
      </w:tr>
      <w:tr>
        <w:trPr>
          <w:cantSplit/>
        </w:trPr>
        <w:tc>
          <w:tcPr>
            <w:tcW w:type="dxa" w:w="12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35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6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150"/>
            <w:tcMar>
              <w:top w:w="90" w:type="dxa"/>
              <w:start w:w="110" w:type="dxa"/>
              <w:bottom w:w="90" w:type="dxa"/>
              <w:end w:w="110" w:type="dxa"/>
            </w:tcMar>
            <w:vAlign w:val="center"/>
          </w:tcPr>
          <w:p>
            <w:pPr>
              <w:spacing w:before="40" w:after="40"/>
              <w:jc w:val="center"/>
              <w:bidi w:val="1"/>
            </w:pPr>
            <w:r>
              <w:rPr>
                <w:rFonts w:ascii="Arial" w:hAnsi="Arial" w:cs="Arial"/>
                <w:sz w:val="14"/>
              </w:rPr>
              <w:t>وقائي/كاشف/تصحيحي</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right"/>
              <w:bidi w:val="1"/>
            </w:pPr>
            <w:r>
              <w:rPr>
                <w:rFonts w:ascii="Arial" w:hAnsi="Arial" w:cs="Arial"/>
                <w:sz w:val="14"/>
              </w:rPr>
              <w:t>........</w:t>
            </w:r>
          </w:p>
        </w:tc>
      </w:tr>
      <w:tr>
        <w:trPr>
          <w:cantSplit/>
        </w:trPr>
        <w:tc>
          <w:tcPr>
            <w:tcW w:type="dxa" w:w="12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35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6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150"/>
            <w:tcMar>
              <w:top w:w="90" w:type="dxa"/>
              <w:start w:w="110" w:type="dxa"/>
              <w:bottom w:w="90" w:type="dxa"/>
              <w:end w:w="110" w:type="dxa"/>
            </w:tcMar>
            <w:vAlign w:val="center"/>
          </w:tcPr>
          <w:p>
            <w:pPr>
              <w:spacing w:before="40" w:after="40"/>
              <w:jc w:val="center"/>
              <w:bidi w:val="1"/>
            </w:pPr>
            <w:r>
              <w:rPr>
                <w:rFonts w:ascii="Arial" w:hAnsi="Arial" w:cs="Arial"/>
                <w:sz w:val="14"/>
              </w:rPr>
              <w:t>وقائي/كاشف/تصحيحي</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right"/>
              <w:bidi w:val="1"/>
            </w:pPr>
            <w:r>
              <w:rPr>
                <w:rFonts w:ascii="Arial" w:hAnsi="Arial" w:cs="Arial"/>
                <w:sz w:val="14"/>
              </w:rPr>
              <w:t>........</w:t>
            </w:r>
          </w:p>
        </w:tc>
      </w:tr>
      <w:tr>
        <w:trPr>
          <w:cantSplit/>
        </w:trPr>
        <w:tc>
          <w:tcPr>
            <w:tcW w:type="dxa" w:w="12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35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6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150"/>
            <w:tcMar>
              <w:top w:w="90" w:type="dxa"/>
              <w:start w:w="110" w:type="dxa"/>
              <w:bottom w:w="90" w:type="dxa"/>
              <w:end w:w="110" w:type="dxa"/>
            </w:tcMar>
            <w:vAlign w:val="center"/>
          </w:tcPr>
          <w:p>
            <w:pPr>
              <w:spacing w:before="40" w:after="40"/>
              <w:jc w:val="center"/>
              <w:bidi w:val="1"/>
            </w:pPr>
            <w:r>
              <w:rPr>
                <w:rFonts w:ascii="Arial" w:hAnsi="Arial" w:cs="Arial"/>
                <w:sz w:val="14"/>
              </w:rPr>
              <w:t>وقائي/كاشف/تصحيحي</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right"/>
              <w:bidi w:val="1"/>
            </w:pPr>
            <w:r>
              <w:rPr>
                <w:rFonts w:ascii="Arial" w:hAnsi="Arial" w:cs="Arial"/>
                <w:sz w:val="14"/>
              </w:rPr>
              <w:t>........</w:t>
            </w:r>
          </w:p>
        </w:tc>
      </w:tr>
      <w:tr>
        <w:trPr>
          <w:cantSplit/>
        </w:trPr>
        <w:tc>
          <w:tcPr>
            <w:tcW w:type="dxa" w:w="12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35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6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150"/>
            <w:tcMar>
              <w:top w:w="90" w:type="dxa"/>
              <w:start w:w="110" w:type="dxa"/>
              <w:bottom w:w="90" w:type="dxa"/>
              <w:end w:w="110" w:type="dxa"/>
            </w:tcMar>
            <w:vAlign w:val="center"/>
          </w:tcPr>
          <w:p>
            <w:pPr>
              <w:spacing w:before="40" w:after="40"/>
              <w:jc w:val="center"/>
              <w:bidi w:val="1"/>
            </w:pPr>
            <w:r>
              <w:rPr>
                <w:rFonts w:ascii="Arial" w:hAnsi="Arial" w:cs="Arial"/>
                <w:sz w:val="14"/>
              </w:rPr>
              <w:t>وقائي/كاشف/تصحيحي</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00"/>
            <w:tcMar>
              <w:top w:w="90" w:type="dxa"/>
              <w:start w:w="110" w:type="dxa"/>
              <w:bottom w:w="90" w:type="dxa"/>
              <w:end w:w="110" w:type="dxa"/>
            </w:tcMar>
            <w:vAlign w:val="center"/>
          </w:tcPr>
          <w:p>
            <w:pPr>
              <w:spacing w:before="40" w:after="40"/>
              <w:jc w:val="right"/>
              <w:bidi w:val="1"/>
            </w:pPr>
            <w:r>
              <w:rPr>
                <w:rFonts w:ascii="Arial" w:hAnsi="Arial" w:cs="Arial"/>
                <w:sz w:val="14"/>
              </w:rPr>
              <w:t>........</w:t>
            </w:r>
          </w:p>
        </w:tc>
      </w:tr>
    </w:tbl>
    <w:p>
      <w:pPr>
        <w:pStyle w:val="Heading1"/>
        <w:jc w:val="right"/>
        <w:keepNext/>
        <w:bidi w:val="1"/>
      </w:pPr>
      <w:r>
        <w:rPr>
          <w:rFonts w:ascii="Arial" w:hAnsi="Arial" w:cs="Arial"/>
        </w:rPr>
        <w:t>الملحق (4): سجل الملاحظات والإجراءات التصحيحية</w:t>
      </w:r>
    </w:p>
    <w:tbl>
      <w:tblPr>
        <w:tblStyle w:val="TableGrid"/>
        <w:tblW w:type="dxa" w:w="8800"/>
        <w:jc w:val="center"/>
        <w:tblLayout w:type="fixed"/>
        <w:tblLook w:firstColumn="1" w:firstRow="1" w:lastColumn="0" w:lastRow="0" w:noHBand="0" w:noVBand="1" w:val="04A0"/>
        <w:tblInd w:w="0" w:type="dxa"/>
        <w:bidiVisual/>
      </w:tblPr>
      <w:tblGrid>
        <w:gridCol w:w="800"/>
        <w:gridCol w:w="1300"/>
        <w:gridCol w:w="700"/>
        <w:gridCol w:w="1100"/>
        <w:gridCol w:w="1400"/>
        <w:gridCol w:w="800"/>
        <w:gridCol w:w="900"/>
        <w:gridCol w:w="700"/>
        <w:gridCol w:w="1100"/>
      </w:tblGrid>
      <w:tr>
        <w:trPr>
          <w:tblHeader w:val="true"/>
          <w:cantSplit/>
        </w:trPr>
        <w:tc>
          <w:tcPr>
            <w:tcW w:type="dxa" w:w="8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3"/>
              </w:rPr>
              <w:t>المرجع</w:t>
            </w:r>
          </w:p>
        </w:tc>
        <w:tc>
          <w:tcPr>
            <w:tcW w:type="dxa" w:w="13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3"/>
              </w:rPr>
              <w:t>الملاحظة</w:t>
            </w:r>
          </w:p>
        </w:tc>
        <w:tc>
          <w:tcPr>
            <w:tcW w:type="dxa" w:w="7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3"/>
              </w:rPr>
              <w:t>الدرجة</w:t>
            </w:r>
          </w:p>
        </w:tc>
        <w:tc>
          <w:tcPr>
            <w:tcW w:type="dxa" w:w="11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3"/>
              </w:rPr>
              <w:t>السبب</w:t>
            </w:r>
          </w:p>
        </w:tc>
        <w:tc>
          <w:tcPr>
            <w:tcW w:type="dxa" w:w="14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3"/>
              </w:rPr>
              <w:t>الإجراء</w:t>
            </w:r>
          </w:p>
        </w:tc>
        <w:tc>
          <w:tcPr>
            <w:tcW w:type="dxa" w:w="8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3"/>
              </w:rPr>
              <w:t>المالك</w:t>
            </w:r>
          </w:p>
        </w:tc>
        <w:tc>
          <w:tcPr>
            <w:tcW w:type="dxa" w:w="9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3"/>
              </w:rPr>
              <w:t>الموعد</w:t>
            </w:r>
          </w:p>
        </w:tc>
        <w:tc>
          <w:tcPr>
            <w:tcW w:type="dxa" w:w="7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3"/>
              </w:rPr>
              <w:t>الحالة</w:t>
            </w:r>
          </w:p>
        </w:tc>
        <w:tc>
          <w:tcPr>
            <w:tcW w:type="dxa" w:w="11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3"/>
              </w:rPr>
              <w:t>دليل الإغلاق</w:t>
            </w:r>
          </w:p>
        </w:tc>
      </w:tr>
      <w:tr>
        <w:trPr>
          <w:cantSplit/>
        </w:trPr>
        <w:tc>
          <w:tcPr>
            <w:tcW w:type="dxa" w:w="8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3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1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14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3"/>
              </w:rPr>
              <w:t>.. / .. / ....</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100"/>
            <w:tcMar>
              <w:top w:w="90" w:type="dxa"/>
              <w:start w:w="110" w:type="dxa"/>
              <w:bottom w:w="90" w:type="dxa"/>
              <w:end w:w="110" w:type="dxa"/>
            </w:tcMar>
            <w:vAlign w:val="center"/>
          </w:tcPr>
          <w:p>
            <w:pPr>
              <w:spacing w:before="40" w:after="40"/>
              <w:jc w:val="right"/>
              <w:bidi w:val="1"/>
            </w:pPr>
            <w:r>
              <w:rPr>
                <w:rFonts w:ascii="Arial" w:hAnsi="Arial" w:cs="Arial"/>
                <w:sz w:val="13"/>
              </w:rPr>
              <w:t>........</w:t>
            </w:r>
          </w:p>
        </w:tc>
      </w:tr>
      <w:tr>
        <w:trPr>
          <w:cantSplit/>
        </w:trPr>
        <w:tc>
          <w:tcPr>
            <w:tcW w:type="dxa" w:w="8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3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1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14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3"/>
              </w:rPr>
              <w:t>.. / .. / ....</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100"/>
            <w:tcMar>
              <w:top w:w="90" w:type="dxa"/>
              <w:start w:w="110" w:type="dxa"/>
              <w:bottom w:w="90" w:type="dxa"/>
              <w:end w:w="110" w:type="dxa"/>
            </w:tcMar>
            <w:vAlign w:val="center"/>
          </w:tcPr>
          <w:p>
            <w:pPr>
              <w:spacing w:before="40" w:after="40"/>
              <w:jc w:val="right"/>
              <w:bidi w:val="1"/>
            </w:pPr>
            <w:r>
              <w:rPr>
                <w:rFonts w:ascii="Arial" w:hAnsi="Arial" w:cs="Arial"/>
                <w:sz w:val="13"/>
              </w:rPr>
              <w:t>........</w:t>
            </w:r>
          </w:p>
        </w:tc>
      </w:tr>
      <w:tr>
        <w:trPr>
          <w:cantSplit/>
        </w:trPr>
        <w:tc>
          <w:tcPr>
            <w:tcW w:type="dxa" w:w="8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3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1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14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3"/>
              </w:rPr>
              <w:t>.. / .. / ....</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100"/>
            <w:tcMar>
              <w:top w:w="90" w:type="dxa"/>
              <w:start w:w="110" w:type="dxa"/>
              <w:bottom w:w="90" w:type="dxa"/>
              <w:end w:w="110" w:type="dxa"/>
            </w:tcMar>
            <w:vAlign w:val="center"/>
          </w:tcPr>
          <w:p>
            <w:pPr>
              <w:spacing w:before="40" w:after="40"/>
              <w:jc w:val="right"/>
              <w:bidi w:val="1"/>
            </w:pPr>
            <w:r>
              <w:rPr>
                <w:rFonts w:ascii="Arial" w:hAnsi="Arial" w:cs="Arial"/>
                <w:sz w:val="13"/>
              </w:rPr>
              <w:t>........</w:t>
            </w:r>
          </w:p>
        </w:tc>
      </w:tr>
      <w:tr>
        <w:trPr>
          <w:cantSplit/>
        </w:trPr>
        <w:tc>
          <w:tcPr>
            <w:tcW w:type="dxa" w:w="8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3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1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14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3"/>
              </w:rPr>
              <w:t>.. / .. / ....</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100"/>
            <w:tcMar>
              <w:top w:w="90" w:type="dxa"/>
              <w:start w:w="110" w:type="dxa"/>
              <w:bottom w:w="90" w:type="dxa"/>
              <w:end w:w="110" w:type="dxa"/>
            </w:tcMar>
            <w:vAlign w:val="center"/>
          </w:tcPr>
          <w:p>
            <w:pPr>
              <w:spacing w:before="40" w:after="40"/>
              <w:jc w:val="right"/>
              <w:bidi w:val="1"/>
            </w:pPr>
            <w:r>
              <w:rPr>
                <w:rFonts w:ascii="Arial" w:hAnsi="Arial" w:cs="Arial"/>
                <w:sz w:val="13"/>
              </w:rPr>
              <w:t>........</w:t>
            </w:r>
          </w:p>
        </w:tc>
      </w:tr>
      <w:tr>
        <w:trPr>
          <w:cantSplit/>
        </w:trPr>
        <w:tc>
          <w:tcPr>
            <w:tcW w:type="dxa" w:w="8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3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1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14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3"/>
              </w:rPr>
              <w:t>.. / .. / ....</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100"/>
            <w:tcMar>
              <w:top w:w="90" w:type="dxa"/>
              <w:start w:w="110" w:type="dxa"/>
              <w:bottom w:w="90" w:type="dxa"/>
              <w:end w:w="110" w:type="dxa"/>
            </w:tcMar>
            <w:vAlign w:val="center"/>
          </w:tcPr>
          <w:p>
            <w:pPr>
              <w:spacing w:before="40" w:after="40"/>
              <w:jc w:val="right"/>
              <w:bidi w:val="1"/>
            </w:pPr>
            <w:r>
              <w:rPr>
                <w:rFonts w:ascii="Arial" w:hAnsi="Arial" w:cs="Arial"/>
                <w:sz w:val="13"/>
              </w:rPr>
              <w:t>........</w:t>
            </w:r>
          </w:p>
        </w:tc>
      </w:tr>
      <w:tr>
        <w:trPr>
          <w:cantSplit/>
        </w:trPr>
        <w:tc>
          <w:tcPr>
            <w:tcW w:type="dxa" w:w="8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3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1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1400"/>
            <w:tcMar>
              <w:top w:w="90" w:type="dxa"/>
              <w:start w:w="110" w:type="dxa"/>
              <w:bottom w:w="90" w:type="dxa"/>
              <w:end w:w="110" w:type="dxa"/>
            </w:tcMar>
            <w:vAlign w:val="center"/>
          </w:tcPr>
          <w:p>
            <w:pPr>
              <w:spacing w:before="40" w:after="40"/>
              <w:jc w:val="right"/>
              <w:bidi w:val="1"/>
            </w:pPr>
            <w:r>
              <w:rPr>
                <w:rFonts w:ascii="Arial" w:hAnsi="Arial" w:cs="Arial"/>
                <w:sz w:val="13"/>
              </w:rPr>
              <w:t>........</w:t>
            </w:r>
          </w:p>
        </w:tc>
        <w:tc>
          <w:tcPr>
            <w:tcW w:type="dxa" w:w="8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3"/>
              </w:rPr>
              <w:t>.. / .. / ....</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3"/>
              </w:rPr>
              <w:t>........</w:t>
            </w:r>
          </w:p>
        </w:tc>
        <w:tc>
          <w:tcPr>
            <w:tcW w:type="dxa" w:w="1100"/>
            <w:tcMar>
              <w:top w:w="90" w:type="dxa"/>
              <w:start w:w="110" w:type="dxa"/>
              <w:bottom w:w="90" w:type="dxa"/>
              <w:end w:w="110" w:type="dxa"/>
            </w:tcMar>
            <w:vAlign w:val="center"/>
          </w:tcPr>
          <w:p>
            <w:pPr>
              <w:spacing w:before="40" w:after="40"/>
              <w:jc w:val="right"/>
              <w:bidi w:val="1"/>
            </w:pPr>
            <w:r>
              <w:rPr>
                <w:rFonts w:ascii="Arial" w:hAnsi="Arial" w:cs="Arial"/>
                <w:sz w:val="13"/>
              </w:rPr>
              <w:t>........</w:t>
            </w:r>
          </w:p>
        </w:tc>
      </w:tr>
    </w:tbl>
    <w:p>
      <w:pPr>
        <w:pStyle w:val="Heading1"/>
        <w:jc w:val="right"/>
        <w:keepNext/>
        <w:bidi w:val="1"/>
      </w:pPr>
      <w:r>
        <w:rPr>
          <w:rFonts w:ascii="Arial" w:hAnsi="Arial" w:cs="Arial"/>
        </w:rPr>
        <w:t>الملحق (5): قائمة تقييم ذاتي للرقابة</w:t>
      </w:r>
    </w:p>
    <w:tbl>
      <w:tblPr>
        <w:tblStyle w:val="TableGrid"/>
        <w:tblW w:type="dxa" w:w="8500"/>
        <w:jc w:val="center"/>
        <w:tblLayout w:type="fixed"/>
        <w:tblLook w:firstColumn="1" w:firstRow="1" w:lastColumn="0" w:lastRow="0" w:noHBand="0" w:noVBand="1" w:val="04A0"/>
        <w:tblInd w:w="0" w:type="dxa"/>
        <w:bidiVisual/>
      </w:tblPr>
      <w:tblGrid>
        <w:gridCol w:w="500"/>
        <w:gridCol w:w="4300"/>
        <w:gridCol w:w="1900"/>
        <w:gridCol w:w="1800"/>
      </w:tblGrid>
      <w:tr>
        <w:trPr>
          <w:tblHeader w:val="true"/>
          <w:cantSplit/>
        </w:trPr>
        <w:tc>
          <w:tcPr>
            <w:tcW w:type="dxa" w:w="5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5"/>
              </w:rPr>
              <w:t>م</w:t>
            </w:r>
          </w:p>
        </w:tc>
        <w:tc>
          <w:tcPr>
            <w:tcW w:type="dxa" w:w="43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5"/>
              </w:rPr>
              <w:t>السؤال</w:t>
            </w:r>
          </w:p>
        </w:tc>
        <w:tc>
          <w:tcPr>
            <w:tcW w:type="dxa" w:w="19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5"/>
              </w:rPr>
              <w:t>النتيجة</w:t>
            </w:r>
          </w:p>
        </w:tc>
        <w:tc>
          <w:tcPr>
            <w:tcW w:type="dxa" w:w="18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5"/>
              </w:rPr>
              <w:t>الدليل/الإجراء</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1</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هل الأهداف والمخاطر والضوابط موثقة ومحدثة؟</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ملتزم / جزئي / غير ملتزم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2</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هل الصلاحيات والفصل بين المهام مطبقان؟</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ملتزم / جزئي / غير ملتزم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3</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هل التقارير دقيقة وتصدر في موعدها؟</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ملتزم / جزئي / غير ملتزم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4</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هل المطابقات والجرد والمراجعات الإشرافية موثقة؟</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ملتزم / جزئي / غير ملتزم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5</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هل الوصول للأنظمة والبيانات مقيد ومراجع؟</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ملتزم / جزئي / غير ملتزم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6</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هل سجل القرارات والعقود والأصول مكتمل؟</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ملتزم / جزئي / غير ملتزم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7</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هل الاستثناءات والمخالفات تبلغ وتتابع؟</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ملتزم / جزئي / غير ملتزم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8</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هل الإجراءات التصحيحية المتأخرة مصعدة؟</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ملتزم / جزئي / غير ملتزم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9</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هل خطط الاستمرارية والنسخ الاحتياطي مجربة؟</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ملتزم / جزئي / غير ملتزم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r>
        <w:trPr>
          <w:cantSplit/>
        </w:trPr>
        <w:tc>
          <w:tcPr>
            <w:tcW w:type="dxa" w:w="500"/>
            <w:tcMar>
              <w:top w:w="90" w:type="dxa"/>
              <w:start w:w="110" w:type="dxa"/>
              <w:bottom w:w="90" w:type="dxa"/>
              <w:end w:w="110" w:type="dxa"/>
            </w:tcMar>
            <w:vAlign w:val="center"/>
          </w:tcPr>
          <w:p>
            <w:pPr>
              <w:spacing w:before="40" w:after="40"/>
              <w:jc w:val="center"/>
              <w:bidi w:val="1"/>
            </w:pPr>
            <w:r>
              <w:rPr>
                <w:rFonts w:ascii="Arial" w:hAnsi="Arial" w:cs="Arial"/>
                <w:sz w:val="15"/>
              </w:rPr>
              <w:t>10</w:t>
            </w:r>
          </w:p>
        </w:tc>
        <w:tc>
          <w:tcPr>
            <w:tcW w:type="dxa" w:w="4300"/>
            <w:tcMar>
              <w:top w:w="90" w:type="dxa"/>
              <w:start w:w="110" w:type="dxa"/>
              <w:bottom w:w="90" w:type="dxa"/>
              <w:end w:w="110" w:type="dxa"/>
            </w:tcMar>
            <w:vAlign w:val="center"/>
          </w:tcPr>
          <w:p>
            <w:pPr>
              <w:spacing w:before="40" w:after="40"/>
              <w:jc w:val="right"/>
              <w:bidi w:val="1"/>
            </w:pPr>
            <w:r>
              <w:rPr>
                <w:rFonts w:ascii="Arial" w:hAnsi="Arial" w:cs="Arial"/>
                <w:sz w:val="15"/>
              </w:rPr>
              <w:t>هل تم تدريب العاملين وإقرارهم بالسياسات؟</w:t>
            </w:r>
          </w:p>
        </w:tc>
        <w:tc>
          <w:tcPr>
            <w:tcW w:type="dxa" w:w="1900"/>
            <w:tcMar>
              <w:top w:w="90" w:type="dxa"/>
              <w:start w:w="110" w:type="dxa"/>
              <w:bottom w:w="90" w:type="dxa"/>
              <w:end w:w="110" w:type="dxa"/>
            </w:tcMar>
            <w:vAlign w:val="center"/>
          </w:tcPr>
          <w:p>
            <w:pPr>
              <w:spacing w:before="40" w:after="40"/>
              <w:jc w:val="center"/>
              <w:bidi w:val="1"/>
            </w:pPr>
            <w:r>
              <w:rPr>
                <w:rFonts w:ascii="Arial" w:hAnsi="Arial" w:cs="Arial"/>
                <w:sz w:val="15"/>
              </w:rPr>
              <w:t>ملتزم / جزئي / غير ملتزم / لا ينطبق</w:t>
            </w:r>
          </w:p>
        </w:tc>
        <w:tc>
          <w:tcPr>
            <w:tcW w:type="dxa" w:w="1800"/>
            <w:tcMar>
              <w:top w:w="90" w:type="dxa"/>
              <w:start w:w="110" w:type="dxa"/>
              <w:bottom w:w="90" w:type="dxa"/>
              <w:end w:w="110" w:type="dxa"/>
            </w:tcMar>
            <w:vAlign w:val="center"/>
          </w:tcPr>
          <w:p>
            <w:pPr>
              <w:spacing w:before="40" w:after="40"/>
              <w:jc w:val="right"/>
              <w:bidi w:val="1"/>
            </w:pPr>
            <w:r>
              <w:rPr>
                <w:rFonts w:ascii="Arial" w:hAnsi="Arial" w:cs="Arial"/>
                <w:sz w:val="15"/>
              </w:rPr>
              <w:t>................</w:t>
            </w:r>
          </w:p>
        </w:tc>
      </w:tr>
    </w:tbl>
    <w:p>
      <w:pPr>
        <w:pStyle w:val="Heading1"/>
        <w:jc w:val="right"/>
        <w:keepNext/>
        <w:bidi w:val="1"/>
      </w:pPr>
      <w:r>
        <w:rPr>
          <w:rFonts w:ascii="Arial" w:hAnsi="Arial" w:cs="Arial"/>
        </w:rPr>
        <w:t>المادة (37): المرجعيات</w:t>
      </w:r>
    </w:p>
    <w:p>
      <w:pPr>
        <w:spacing w:after="80"/>
        <w:jc w:val="right"/>
        <w:bidi w:val="1"/>
      </w:pPr>
      <w:r>
        <w:rPr>
          <w:rFonts w:ascii="Arial" w:hAnsi="Arial" w:cs="Arial"/>
          <w:b w:val="0"/>
        </w:rPr>
        <w:t>نظام الجمعيات والمؤسسات الأهلية ولائحته التنفيذية، وقواعد حوكمة الجمعيات والمؤسسات الأهلية، والدليل الاسترشادي لسياسة الرقابة الداخلية وآليات الإشراف والمتابعة الصادر عن المركز الوطني لتنمية القطاع غير الربحي، واللائحة الأساسية والهيكل التنظيمي ومصفوفة الصلاحيات والسياسات المعتمدة لدى الجمعية.</w:t>
      </w:r>
    </w:p>
    <w:p>
      <w:pPr>
        <w:spacing w:after="160"/>
        <w:jc w:val="center"/>
        <w:pageBreakBefore/>
        <w:bidi w:val="1"/>
      </w:pPr>
      <w:r>
        <w:rPr>
          <w:rFonts w:ascii="Arial" w:hAnsi="Arial" w:cs="Arial"/>
          <w:b/>
          <w:color w:val="0B7F9E"/>
          <w:sz w:val="48"/>
        </w:rPr>
        <w:t>صفحة الاعتماد</w:t>
      </w:r>
    </w:p>
    <w:p>
      <w:pPr>
        <w:spacing w:after="400"/>
        <w:jc w:val="center"/>
        <w:bidi w:val="1"/>
      </w:pPr>
      <w:r>
        <w:rPr>
          <w:rFonts w:ascii="Arial" w:hAnsi="Arial" w:cs="Arial"/>
          <w:b/>
          <w:color w:val="A9322D"/>
          <w:sz w:val="34"/>
        </w:rPr>
        <w:t>نظام الرقابة الداخلية</w:t>
      </w:r>
    </w:p>
    <w:p>
      <w:pPr>
        <w:spacing w:after="320"/>
        <w:jc w:val="center"/>
        <w:bidi w:val="1"/>
      </w:pPr>
      <w:r>
        <w:rPr>
          <w:rFonts w:ascii="Arial" w:hAnsi="Arial" w:cs="Arial"/>
          <w:b w:val="0"/>
        </w:rPr>
        <w:t>اعتمد مجلس إدارة جمعية البلسم للتدريب والتطوير الصحي هذا النظام وملحقاته، ويبدأ العمل به من تاريخ النفاذ المحدد أدناه، ويحل هذا النظام محل ما يتعارض معه من أحكام سابقة في نطاقه.</w:t>
      </w:r>
    </w:p>
    <w:tbl>
      <w:tblPr>
        <w:tblStyle w:val="TableGrid"/>
        <w:tblW w:type="dxa" w:w="8500"/>
        <w:jc w:val="center"/>
        <w:tblLayout w:type="fixed"/>
        <w:tblLook w:firstColumn="1" w:firstRow="1" w:lastColumn="0" w:lastRow="0" w:noHBand="0" w:noVBand="1" w:val="04A0"/>
        <w:tblInd w:w="0" w:type="dxa"/>
        <w:bidiVisual/>
      </w:tblPr>
      <w:tblGrid>
        <w:gridCol w:w="2700"/>
        <w:gridCol w:w="5800"/>
      </w:tblGrid>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رقم قرار مجلس الإدارة</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تاريخ القرار</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 / ........ / ........ هـ   الموافق   ........ / ........ / ........ م</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رقم الإصدار</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تاريخ النفاذ</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 / ........ / ........ م</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8"/>
              </w:rPr>
              <w:t>دورية المراجعة</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8"/>
              </w:rPr>
              <w:t>سنويًا أو عند تغير المخاطر أو الهيكل أو المتطلبات النظامية</w:t>
            </w:r>
          </w:p>
        </w:tc>
      </w:tr>
    </w:tbl>
    <w:p>
      <w:pPr>
        <w:spacing w:after="360"/>
        <w:jc w:val="right"/>
        <w:bidi w:val="1"/>
      </w:pPr>
      <w:r>
        <w:rPr>
          <w:rFonts w:ascii="Arial" w:hAnsi="Arial" w:cs="Arial"/>
          <w:b w:val="0"/>
        </w:rPr>
      </w:r>
    </w:p>
    <w:p>
      <w:pPr>
        <w:spacing w:after="200"/>
        <w:jc w:val="center"/>
        <w:bidi w:val="1"/>
      </w:pPr>
      <w:r>
        <w:rPr>
          <w:rFonts w:ascii="Arial" w:hAnsi="Arial" w:cs="Arial"/>
          <w:b/>
          <w:color w:val="0B7F9E"/>
          <w:sz w:val="28"/>
        </w:rPr>
        <w:t>رئيس مجلس الإدارة</w:t>
      </w:r>
    </w:p>
    <w:p>
      <w:pPr>
        <w:spacing w:after="240"/>
        <w:jc w:val="center"/>
        <w:bidi w:val="1"/>
      </w:pPr>
      <w:r>
        <w:rPr>
          <w:rFonts w:ascii="Arial" w:hAnsi="Arial" w:cs="Arial"/>
          <w:b w:val="0"/>
        </w:rPr>
        <w:t>الاسم: ....................................................................................</w:t>
      </w:r>
    </w:p>
    <w:p>
      <w:pPr>
        <w:spacing w:after="240"/>
        <w:jc w:val="center"/>
        <w:bidi w:val="1"/>
      </w:pPr>
      <w:r>
        <w:rPr>
          <w:rFonts w:ascii="Arial" w:hAnsi="Arial" w:cs="Arial"/>
          <w:b w:val="0"/>
        </w:rPr>
        <w:t>التوقيع: .................................................................................</w:t>
      </w:r>
    </w:p>
    <w:p>
      <w:pPr>
        <w:spacing w:after="600"/>
        <w:jc w:val="center"/>
        <w:bidi w:val="1"/>
      </w:pPr>
      <w:r>
        <w:rPr>
          <w:rFonts w:ascii="Arial" w:hAnsi="Arial" w:cs="Arial"/>
          <w:b/>
        </w:rPr>
        <w:t>الختم:</w:t>
      </w:r>
    </w:p>
    <w:p>
      <w:r>
        <w:br w:type="page"/>
      </w:r>
    </w:p>
    <w:p>
      <w:pPr>
        <w:jc w:val="center"/>
        <w:bidi w:val="1"/>
      </w:pPr>
      <w:r>
        <w:rPr>
          <w:rFonts w:ascii="Arial" w:hAnsi="Arial" w:cs="Arial"/>
          <w:b/>
          <w:color w:val="1F4E78"/>
          <w:sz w:val="34"/>
        </w:rPr>
        <w:t>ملحق النماذج والسجلات</w:t>
      </w:r>
    </w:p>
    <w:p>
      <w:pPr>
        <w:spacing w:after="180"/>
        <w:jc w:val="center"/>
        <w:bidi w:val="1"/>
      </w:pPr>
      <w:r>
        <w:rPr>
          <w:rFonts w:ascii="Arial" w:hAnsi="Arial" w:cs="Arial"/>
          <w:b/>
          <w:color w:val="1F4E78"/>
          <w:sz w:val="30"/>
        </w:rPr>
        <w:t>RISK-R01 — سجل المخاطر المؤسسي</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رمز الخطر</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الوصف</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الفئة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الاحتمال</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الأثر</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الدرجة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الضوابط</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الخطر المتبقي</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مالك الخطر</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المعالجة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الموعد</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AUD-F01 — خطة المراجعة السنوية</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السنة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المجال</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المخاطر</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نطاق المهمة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الأهداف</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المدة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الموارد</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التوقيت</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الاعتماد</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CTRL-R01 — مصفوفة الضوابط الرقابية</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العملية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الخطر</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الضابط</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نوعه</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المالك</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التكرار</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الدليل</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اختبار الفعالية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النتيجة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FIND-R01 — سجل النتائج والإجراءات التصحيحية</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رقم النتيجة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المجال</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الوصف</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الدرجة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السبب الجذري</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الإجراء</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المسؤول</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الموعد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الدليل</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حالة الإغلاق</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sectPr w:rsidR="00FC693F" w:rsidRPr="0006063C" w:rsidSect="00034616">
      <w:headerReference w:type="default" r:id="rId9"/>
      <w:footerReference w:type="default" r:id="rId10"/>
      <w:pgSz w:w="12240" w:h="15840"/>
      <w:pgMar w:top="2232" w:right="1123" w:bottom="1613" w:left="1123" w:header="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cs="Arial"/>
        <w:color w:val="0B7F9E"/>
        <w:sz w:val="16"/>
      </w:rPr>
      <w:t xml:space="preserve">صفحة </w:t>
    </w:r>
    <w:fldSimple w:instr="PAGE"/>
  </w:p>
  <w:p>
    <w:pPr>
      <w:spacing w:before="0" w:after="0"/>
      <w:jc w:val="center"/>
    </w:pPr>
    <w:r>
      <w:drawing>
        <wp:inline xmlns:a="http://schemas.openxmlformats.org/drawingml/2006/main" xmlns:pic="http://schemas.openxmlformats.org/drawingml/2006/picture">
          <wp:extent cx="7772400" cy="1243584"/>
          <wp:docPr id="1" name="Picture 1"/>
          <wp:cNvGraphicFramePr>
            <a:graphicFrameLocks noChangeAspect="1"/>
          </wp:cNvGraphicFramePr>
          <a:graphic>
            <a:graphicData uri="http://schemas.openxmlformats.org/drawingml/2006/picture">
              <pic:pic>
                <pic:nvPicPr>
                  <pic:cNvPr id="0" name="footer.png"/>
                  <pic:cNvPicPr/>
                </pic:nvPicPr>
                <pic:blipFill>
                  <a:blip r:embed="rId1"/>
                  <a:stretch>
                    <a:fillRect/>
                  </a:stretch>
                </pic:blipFill>
                <pic:spPr>
                  <a:xfrm>
                    <a:off x="0" y="0"/>
                    <a:ext cx="7772400" cy="1243584"/>
                  </a:xfrm>
                  <a:prstGeom prst="rect"/>
                </pic:spPr>
              </pic:pic>
            </a:graphicData>
          </a:graphic>
        </wp:inline>
      </w:drawing>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Pr>
    <w:r>
      <w:drawing>
        <wp:inline xmlns:a="http://schemas.openxmlformats.org/drawingml/2006/main" xmlns:pic="http://schemas.openxmlformats.org/drawingml/2006/picture">
          <wp:extent cx="7772400" cy="1956816"/>
          <wp:docPr id="1" name="Picture 1"/>
          <wp:cNvGraphicFramePr>
            <a:graphicFrameLocks noChangeAspect="1"/>
          </wp:cNvGraphicFramePr>
          <a:graphic>
            <a:graphicData uri="http://schemas.openxmlformats.org/drawingml/2006/picture">
              <pic:pic>
                <pic:nvPicPr>
                  <pic:cNvPr id="0" name="header.png"/>
                  <pic:cNvPicPr/>
                </pic:nvPicPr>
                <pic:blipFill>
                  <a:blip r:embed="rId1"/>
                  <a:stretch>
                    <a:fillRect/>
                  </a:stretch>
                </pic:blipFill>
                <pic:spPr>
                  <a:xfrm>
                    <a:off x="0" y="0"/>
                    <a:ext cx="7772400" cy="1956816"/>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pPr>
    <w:rPr>
      <w:rFonts w:ascii="Arial" w:hAnsi="Arial" w:cs="Arial"/>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rial" w:hAnsi="Arial" w:cs="Arial"/>
      <w:b/>
      <w:bCs/>
      <w:color w:val="0B7F9E"/>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cs="Arial"/>
      <w:b/>
      <w:bCs/>
      <w:color w:val="A9322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0B7F9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cs="Arial"/>
      <w:b/>
      <w:color w:val="0B7F9E"/>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نظام الرقابة الداخلية - جمعية البلسم</dc:title>
  <dc:subject>نسخة معتمدة متضمنة ملحق النماذج والسجلات</dc:subject>
  <dc:creator>جمعية البلسم للتدريب والتطوير الصحي</dc:creator>
  <cp:keywords>غسل الأموال، تمويل الإرهاب، الحوكمة، الامتثال</cp:keywords>
  <dc:description>generated by python-docx</dc:description>
  <cp:lastModifiedBy/>
  <cp:revision>1</cp:revision>
  <dcterms:created xsi:type="dcterms:W3CDTF">2013-12-23T23:15:00Z</dcterms:created>
  <dcterms:modified xsi:type="dcterms:W3CDTF">2013-12-23T23:15:00Z</dcterms:modified>
  <cp:category/>
</cp:coreProperties>
</file>