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bidi/>
      </w:pPr>
      <w:r>
        <w:rPr>
          <w:rFonts w:ascii="Arial" w:hAnsi="Arial" w:cs="Arial" w:eastAsia="Arial"/>
          <w:b/>
          <w:color w:val="20A98B"/>
          <w:sz w:val="26"/>
        </w:rPr>
        <w:t>جمعية البلسم للتدريب والتطوير الصحي</w:t>
      </w:r>
    </w:p>
    <w:p/>
    <w:p/>
    <w:p/>
    <w:p/>
    <w:p>
      <w:pPr>
        <w:jc w:val="center"/>
        <w:bidi/>
      </w:pPr>
      <w:r>
        <w:rPr>
          <w:rFonts w:ascii="Arial" w:hAnsi="Arial" w:cs="Arial" w:eastAsia="Arial"/>
          <w:b/>
          <w:color w:val="124D67"/>
          <w:sz w:val="52"/>
        </w:rPr>
        <w:t>لائحة مجلس الإدارة واللجان</w:t>
      </w:r>
    </w:p>
    <w:p>
      <w:pPr>
        <w:jc w:val="center"/>
        <w:bidi/>
      </w:pPr>
      <w:r>
        <w:rPr>
          <w:rFonts w:ascii="Arial" w:hAnsi="Arial" w:cs="Arial" w:eastAsia="Arial"/>
          <w:b w:val="0"/>
          <w:color w:val="173642"/>
          <w:sz w:val="28"/>
        </w:rPr>
        <w:t>تنظيم التشكيل والاجتماعات والقرارات واللجان والمتابعة</w:t>
      </w:r>
    </w:p>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بيانات الإصدار</w:t>
            </w:r>
          </w:p>
        </w:tc>
        <w:tc>
          <w:tcPr>
            <w:tcW w:type="dxa" w:w="45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القيمة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رقم الوثيقة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BRD-01</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الإصدار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الأول</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جهة الاعتماد</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مجلس الإدارة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دورية المراجعة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كل ثلاث سنوات أو عند تغير الأنظمة أو الهيكل</w:t>
            </w:r>
          </w:p>
        </w:tc>
      </w:tr>
    </w:tbl>
    <w:p/>
    <w:p/>
    <w:p/>
    <w:p/>
    <w:p/>
    <w:p>
      <w:pPr>
        <w:jc w:val="center"/>
        <w:bidi/>
      </w:pPr>
      <w:r>
        <w:rPr>
          <w:rFonts w:ascii="Arial" w:hAnsi="Arial" w:cs="Arial" w:eastAsia="Arial"/>
          <w:b/>
          <w:color w:val="20A98B"/>
          <w:sz w:val="22"/>
        </w:rPr>
        <w:t>لائحة تنظيمية</w:t>
      </w:r>
    </w:p>
    <w:p>
      <w:r>
        <w:br w:type="page"/>
      </w:r>
    </w:p>
    <w:p>
      <w:pPr>
        <w:pStyle w:val="Heading1"/>
        <w:jc w:val="right"/>
        <w:bidi/>
      </w:pPr>
      <w:r>
        <w:rPr>
          <w:rFonts w:ascii="Arial" w:hAnsi="Arial" w:cs="Arial" w:eastAsia="Arial"/>
          <w:b/>
          <w:color w:val="124D67"/>
          <w:sz w:val="34"/>
        </w:rPr>
        <w:t>صفحة الاعتماد</w:t>
      </w:r>
    </w:p>
    <w:p>
      <w:pPr>
        <w:jc w:val="both"/>
        <w:bidi/>
      </w:pPr>
      <w:r>
        <w:rPr>
          <w:rFonts w:ascii="Arial" w:hAnsi="Arial" w:cs="Arial" w:eastAsia="Arial"/>
          <w:b w:val="0"/>
          <w:color w:val="173642"/>
          <w:sz w:val="22"/>
        </w:rPr>
        <w:t>اعتمد مجلس إدارة جمعية البلسم للتدريب والتطوير الصحي هذه الوثيقة مرجعًا ملزمًا في نطاقها، ويعمل بها من تاريخ اعتمادها، وتلغى أو تعدل الأحكام الداخلية التي تتعارض معها في حدود ما لا يخالف الأنظمة واللائحة الأساسية.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البيان</w:t>
            </w:r>
          </w:p>
        </w:tc>
        <w:tc>
          <w:tcPr>
            <w:tcW w:type="dxa" w:w="45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القيمة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اسم الوثيقة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لائحة مجلس الإدارة واللجان</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رقم الوثيقة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BRD-01</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الإصدار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الأول</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جهة الإصدار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جمعية البلسم للتدريب والتطوير الصحي</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جهة الاعتماد</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مجلس الإدارة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رقم القرار</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تاريخ الاعتماد</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 / .... / ........ م</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تاريخ النفاذ</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 / .... / ........ م</w:t>
            </w:r>
          </w:p>
        </w:tc>
      </w:tr>
    </w:tbl>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الصفة</w:t>
            </w:r>
          </w:p>
        </w:tc>
        <w:tc>
          <w:tcPr>
            <w:tcW w:type="dxa" w:w="4535"/>
            <w:vAlign w:val="center"/>
            <w:tcMar>
              <w:top w:w="80" w:type="dxa"/>
              <w:bottom w:w="80" w:type="dxa"/>
              <w:start w:w="100" w:type="dxa"/>
              <w:end w:w="100" w:type="dxa"/>
            </w:tcMar>
            <w:shd w:fill="124D67"/>
          </w:tcPr>
          <w:p>
            <w:pPr>
              <w:jc w:val="center"/>
              <w:bidi/>
            </w:pPr>
            <w:r/>
            <w:r>
              <w:rPr>
                <w:rFonts w:ascii="Arial" w:hAnsi="Arial" w:cs="Arial" w:eastAsia="Arial"/>
                <w:b/>
                <w:color w:val="FFFFFF"/>
                <w:sz w:val="20"/>
              </w:rPr>
              <w:t>الاسم والتوقيع والختم</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20"/>
              </w:rPr>
              <w:t>رئيس مجلس الإدارة</w:t>
            </w:r>
          </w:p>
        </w:tc>
        <w:tc>
          <w:tcPr>
            <w:tcW w:type="dxa" w:w="4535"/>
            <w:vAlign w:val="center"/>
            <w:tcMar>
              <w:top w:w="80" w:type="dxa"/>
              <w:bottom w:w="80" w:type="dxa"/>
              <w:start w:w="100" w:type="dxa"/>
              <w:end w:w="100" w:type="dxa"/>
            </w:tcMar>
          </w:tcPr>
          <w:p>
            <w:pPr>
              <w:jc w:val="center"/>
              <w:bidi/>
            </w:pPr>
            <w:r/>
            <w:r>
              <w:rPr>
                <w:rFonts w:ascii="Arial" w:hAnsi="Arial" w:cs="Arial" w:eastAsia="Arial"/>
                <w:b w:val="0"/>
                <w:color w:val="173642"/>
                <w:sz w:val="20"/>
              </w:rPr>
              <w:t>........................................................</w:t>
            </w:r>
          </w:p>
        </w:tc>
      </w:tr>
    </w:tbl>
    <w:p>
      <w:r>
        <w:br w:type="page"/>
      </w:r>
    </w:p>
    <w:p>
      <w:pPr>
        <w:pStyle w:val="Heading1"/>
        <w:jc w:val="right"/>
        <w:bidi/>
      </w:pPr>
      <w:r>
        <w:rPr>
          <w:rFonts w:ascii="Arial" w:hAnsi="Arial" w:cs="Arial" w:eastAsia="Arial"/>
          <w:b/>
          <w:color w:val="124D67"/>
          <w:sz w:val="34"/>
        </w:rPr>
        <w:t>الباب الأول: الأحكام التنظيمية</w:t>
      </w:r>
    </w:p>
    <w:p>
      <w:pPr>
        <w:pStyle w:val="Heading2"/>
        <w:jc w:val="right"/>
        <w:bidi/>
      </w:pPr>
      <w:r>
        <w:rPr>
          <w:rFonts w:ascii="Arial" w:hAnsi="Arial" w:cs="Arial" w:eastAsia="Arial"/>
          <w:b/>
          <w:color w:val="124D67"/>
          <w:sz w:val="28"/>
        </w:rPr>
        <w:t>المادة 1: الغرض</w:t>
      </w:r>
    </w:p>
    <w:p>
      <w:pPr>
        <w:jc w:val="both"/>
        <w:bidi/>
      </w:pPr>
      <w:r>
        <w:rPr>
          <w:rFonts w:ascii="Arial" w:hAnsi="Arial" w:cs="Arial" w:eastAsia="Arial"/>
          <w:b w:val="0"/>
          <w:color w:val="173642"/>
          <w:sz w:val="22"/>
        </w:rPr>
        <w:t>تنظم هذه اللائحة عمل مجلس الإدارة واللجان المنبثقة عنه وأمانة المجلس، وتكمل أحكام النظام واللائحة واللائحة الأساسية دون أن تحل محلها.</w:t>
      </w:r>
    </w:p>
    <w:p>
      <w:pPr>
        <w:pStyle w:val="Heading2"/>
        <w:jc w:val="right"/>
        <w:bidi/>
      </w:pPr>
      <w:r>
        <w:rPr>
          <w:rFonts w:ascii="Arial" w:hAnsi="Arial" w:cs="Arial" w:eastAsia="Arial"/>
          <w:b/>
          <w:color w:val="124D67"/>
          <w:sz w:val="28"/>
        </w:rPr>
        <w:t>المادة 2: المرجعية والأولوية</w:t>
      </w:r>
    </w:p>
    <w:p>
      <w:pPr>
        <w:jc w:val="both"/>
        <w:bidi/>
      </w:pPr>
      <w:r>
        <w:rPr>
          <w:rFonts w:ascii="Arial" w:hAnsi="Arial" w:cs="Arial" w:eastAsia="Arial"/>
          <w:b w:val="0"/>
          <w:color w:val="173642"/>
          <w:sz w:val="22"/>
        </w:rPr>
        <w:t>عند التعارض يقدم النظام ثم اللائحة التنفيذية ثم اللائحة الأساسية ثم قرارات الجمعية العمومية ثم هذه اللائحة.</w:t>
      </w:r>
    </w:p>
    <w:p>
      <w:pPr>
        <w:pStyle w:val="Heading2"/>
        <w:jc w:val="right"/>
        <w:bidi/>
      </w:pPr>
      <w:r>
        <w:rPr>
          <w:rFonts w:ascii="Arial" w:hAnsi="Arial" w:cs="Arial" w:eastAsia="Arial"/>
          <w:b/>
          <w:color w:val="124D67"/>
          <w:sz w:val="28"/>
        </w:rPr>
        <w:t>المادة 3: تشكيل المجلس</w:t>
      </w:r>
    </w:p>
    <w:p>
      <w:pPr>
        <w:jc w:val="both"/>
        <w:bidi/>
      </w:pPr>
      <w:r>
        <w:rPr>
          <w:rFonts w:ascii="Arial" w:hAnsi="Arial" w:cs="Arial" w:eastAsia="Arial"/>
          <w:b w:val="0"/>
          <w:color w:val="173642"/>
          <w:sz w:val="22"/>
        </w:rPr>
        <w:t>يتشكل المجلس وعدد أعضائه ومدة دورته وطريقة انتخابه وفق اللائحة الأساسية والأنظمة النافذة، ويحدد الرئيس ونائبه في أول اجتماع للمجلس.</w:t>
      </w:r>
    </w:p>
    <w:p>
      <w:pPr>
        <w:pStyle w:val="Heading2"/>
        <w:jc w:val="right"/>
        <w:bidi/>
      </w:pPr>
      <w:r>
        <w:rPr>
          <w:rFonts w:ascii="Arial" w:hAnsi="Arial" w:cs="Arial" w:eastAsia="Arial"/>
          <w:b/>
          <w:color w:val="124D67"/>
          <w:sz w:val="28"/>
        </w:rPr>
        <w:t>المادة 4: واجبات العضو</w:t>
      </w:r>
    </w:p>
    <w:p>
      <w:pPr>
        <w:jc w:val="both"/>
        <w:bidi/>
      </w:pPr>
      <w:r>
        <w:rPr>
          <w:rFonts w:ascii="Arial" w:hAnsi="Arial" w:cs="Arial" w:eastAsia="Arial"/>
          <w:b w:val="0"/>
          <w:color w:val="173642"/>
          <w:sz w:val="22"/>
        </w:rPr>
        <w:t>يلتزم العضو بالعناية والولاء، وحضور الاجتماعات، والتحضير، والمحافظة على السرية، والإفصاح عن التعارض، ومتابعة القرارات، وعدم استغلال المنصب.</w:t>
      </w:r>
    </w:p>
    <w:p>
      <w:pPr>
        <w:pStyle w:val="Heading2"/>
        <w:jc w:val="right"/>
        <w:bidi/>
      </w:pPr>
      <w:r>
        <w:rPr>
          <w:rFonts w:ascii="Arial" w:hAnsi="Arial" w:cs="Arial" w:eastAsia="Arial"/>
          <w:b/>
          <w:color w:val="124D67"/>
          <w:sz w:val="28"/>
        </w:rPr>
        <w:t>المادة 5: اختصاصات المجلس</w:t>
      </w:r>
    </w:p>
    <w:p>
      <w:pPr>
        <w:jc w:val="both"/>
        <w:bidi/>
      </w:pPr>
      <w:r>
        <w:rPr>
          <w:rFonts w:ascii="Arial" w:hAnsi="Arial" w:cs="Arial" w:eastAsia="Arial"/>
          <w:b w:val="0"/>
          <w:color w:val="173642"/>
          <w:sz w:val="22"/>
        </w:rPr>
        <w:t>يمارس المجلس اختصاصاته النظامية، وبوجه خاص اعتماد السياسات والخطط والهياكل والرقابة الداخلية والحوكمة والموازنة والتقارير، وحماية الأموال، وتعيين القيادات، والإفصاح والرفع للجهات المختصة.</w:t>
      </w:r>
    </w:p>
    <w:p>
      <w:pPr>
        <w:pStyle w:val="Heading2"/>
        <w:jc w:val="right"/>
        <w:bidi/>
      </w:pPr>
      <w:r>
        <w:rPr>
          <w:rFonts w:ascii="Arial" w:hAnsi="Arial" w:cs="Arial" w:eastAsia="Arial"/>
          <w:b/>
          <w:color w:val="124D67"/>
          <w:sz w:val="28"/>
        </w:rPr>
        <w:t>المادة 6: رئيس المجلس</w:t>
      </w:r>
    </w:p>
    <w:p>
      <w:pPr>
        <w:jc w:val="both"/>
        <w:bidi/>
      </w:pPr>
      <w:r>
        <w:rPr>
          <w:rFonts w:ascii="Arial" w:hAnsi="Arial" w:cs="Arial" w:eastAsia="Arial"/>
          <w:b w:val="0"/>
          <w:color w:val="173642"/>
          <w:sz w:val="22"/>
        </w:rPr>
        <w:t>يرأس الاجتماعات، ويقر جدول الأعمال، ويتابع تنفيذ القرارات، ويشرف على المجلس واللجان، ويمثل المجلس في حدود الصلاحيات النظامية.</w:t>
      </w:r>
    </w:p>
    <w:p>
      <w:pPr>
        <w:pStyle w:val="Heading2"/>
        <w:jc w:val="right"/>
        <w:bidi/>
      </w:pPr>
      <w:r>
        <w:rPr>
          <w:rFonts w:ascii="Arial" w:hAnsi="Arial" w:cs="Arial" w:eastAsia="Arial"/>
          <w:b/>
          <w:color w:val="124D67"/>
          <w:sz w:val="28"/>
        </w:rPr>
        <w:t>المادة 7: نائب الرئيس</w:t>
      </w:r>
    </w:p>
    <w:p>
      <w:pPr>
        <w:jc w:val="both"/>
        <w:bidi/>
      </w:pPr>
      <w:r>
        <w:rPr>
          <w:rFonts w:ascii="Arial" w:hAnsi="Arial" w:cs="Arial" w:eastAsia="Arial"/>
          <w:b w:val="0"/>
          <w:color w:val="173642"/>
          <w:sz w:val="22"/>
        </w:rPr>
        <w:t>يحل محل الرئيس عند غيابه، ويؤدي ما يفوضه به المجلس أو الرئيس في حدود التفويض.</w:t>
      </w:r>
    </w:p>
    <w:p>
      <w:pPr>
        <w:pStyle w:val="Heading2"/>
        <w:jc w:val="right"/>
        <w:bidi/>
      </w:pPr>
      <w:r>
        <w:rPr>
          <w:rFonts w:ascii="Arial" w:hAnsi="Arial" w:cs="Arial" w:eastAsia="Arial"/>
          <w:b/>
          <w:color w:val="124D67"/>
          <w:sz w:val="28"/>
        </w:rPr>
        <w:t>المادة 8: أمانة المجلس</w:t>
      </w:r>
    </w:p>
    <w:p>
      <w:pPr>
        <w:jc w:val="both"/>
        <w:bidi/>
      </w:pPr>
      <w:r>
        <w:rPr>
          <w:rFonts w:ascii="Arial" w:hAnsi="Arial" w:cs="Arial" w:eastAsia="Arial"/>
          <w:b w:val="0"/>
          <w:color w:val="173642"/>
          <w:sz w:val="22"/>
        </w:rPr>
        <w:t>تتولى الدعوات والجداول والملفات والمحاضر وسجل الأعضاء والقرارات واللجان والتفويضات ومتابعة التنفيذ وتزويد الجهات المختصة بالمحاضر والقرارات.</w:t>
      </w:r>
    </w:p>
    <w:p>
      <w:pPr>
        <w:pStyle w:val="Heading1"/>
        <w:jc w:val="right"/>
        <w:bidi/>
      </w:pPr>
      <w:r>
        <w:rPr>
          <w:rFonts w:ascii="Arial" w:hAnsi="Arial" w:cs="Arial" w:eastAsia="Arial"/>
          <w:b/>
          <w:color w:val="124D67"/>
          <w:sz w:val="34"/>
        </w:rPr>
        <w:t>الباب الثاني: اجتماعات المجلس وقراراته</w:t>
      </w:r>
    </w:p>
    <w:p>
      <w:pPr>
        <w:pStyle w:val="Heading2"/>
        <w:jc w:val="right"/>
        <w:bidi/>
      </w:pPr>
      <w:r>
        <w:rPr>
          <w:rFonts w:ascii="Arial" w:hAnsi="Arial" w:cs="Arial" w:eastAsia="Arial"/>
          <w:b/>
          <w:color w:val="124D67"/>
          <w:sz w:val="28"/>
        </w:rPr>
        <w:t>المادة 9: خطة الاجتماعات</w:t>
      </w:r>
    </w:p>
    <w:p>
      <w:pPr>
        <w:jc w:val="both"/>
        <w:bidi/>
      </w:pPr>
      <w:r>
        <w:rPr>
          <w:rFonts w:ascii="Arial" w:hAnsi="Arial" w:cs="Arial" w:eastAsia="Arial"/>
          <w:b w:val="0"/>
          <w:color w:val="173642"/>
          <w:sz w:val="22"/>
        </w:rPr>
        <w:t>يعقد المجلس أربعة اجتماعات دورية على الأقل في السنة، بواقع اجتماع كل ثلاثة أشهر على الأقل، ويعتمد في بداية السنة تقويمًا سنويًا وجدول موضوعات رئيسة.</w:t>
      </w:r>
    </w:p>
    <w:p>
      <w:pPr>
        <w:pStyle w:val="Heading2"/>
        <w:jc w:val="right"/>
        <w:bidi/>
      </w:pPr>
      <w:r>
        <w:rPr>
          <w:rFonts w:ascii="Arial" w:hAnsi="Arial" w:cs="Arial" w:eastAsia="Arial"/>
          <w:b/>
          <w:color w:val="124D67"/>
          <w:sz w:val="28"/>
        </w:rPr>
        <w:t>المادة 10: الدعوة</w:t>
      </w:r>
    </w:p>
    <w:p>
      <w:pPr>
        <w:jc w:val="both"/>
        <w:bidi/>
      </w:pPr>
      <w:r>
        <w:rPr>
          <w:rFonts w:ascii="Arial" w:hAnsi="Arial" w:cs="Arial" w:eastAsia="Arial"/>
          <w:b w:val="0"/>
          <w:color w:val="173642"/>
          <w:sz w:val="22"/>
        </w:rPr>
        <w:t>توجه الدعوة والجدول والوثائق قبل الاجتماع بوقت كاف وفق اللائحة الأساسية، ويجوز عقد اجتماع عاجل عند الضرورة مع بيان سبب الاستعجال.</w:t>
      </w:r>
    </w:p>
    <w:p>
      <w:pPr>
        <w:pStyle w:val="Heading2"/>
        <w:jc w:val="right"/>
        <w:bidi/>
      </w:pPr>
      <w:r>
        <w:rPr>
          <w:rFonts w:ascii="Arial" w:hAnsi="Arial" w:cs="Arial" w:eastAsia="Arial"/>
          <w:b/>
          <w:color w:val="124D67"/>
          <w:sz w:val="28"/>
        </w:rPr>
        <w:t>المادة 11: جدول الأعمال</w:t>
      </w:r>
    </w:p>
    <w:p>
      <w:pPr>
        <w:jc w:val="both"/>
        <w:bidi/>
      </w:pPr>
      <w:r>
        <w:rPr>
          <w:rFonts w:ascii="Arial" w:hAnsi="Arial" w:cs="Arial" w:eastAsia="Arial"/>
          <w:b w:val="0"/>
          <w:color w:val="173642"/>
          <w:sz w:val="22"/>
        </w:rPr>
        <w:t>يعد أمين المجلس مشروع الجدول بالتنسيق مع الرئيس والرئيس التنفيذي. تصنف البنود إلى اعتماد، مناقشة، إحاطة، ومتابعة، ولا يدرج بند دون مذكرة ومرفقات كافية إلا للضرورة.</w:t>
      </w:r>
    </w:p>
    <w:p>
      <w:pPr>
        <w:pStyle w:val="Heading2"/>
        <w:jc w:val="right"/>
        <w:bidi/>
      </w:pPr>
      <w:r>
        <w:rPr>
          <w:rFonts w:ascii="Arial" w:hAnsi="Arial" w:cs="Arial" w:eastAsia="Arial"/>
          <w:b/>
          <w:color w:val="124D67"/>
          <w:sz w:val="28"/>
        </w:rPr>
        <w:t>المادة 12: النصاب والتصويت</w:t>
      </w:r>
    </w:p>
    <w:p>
      <w:pPr>
        <w:jc w:val="both"/>
        <w:bidi/>
      </w:pPr>
      <w:r>
        <w:rPr>
          <w:rFonts w:ascii="Arial" w:hAnsi="Arial" w:cs="Arial" w:eastAsia="Arial"/>
          <w:b w:val="0"/>
          <w:color w:val="173642"/>
          <w:sz w:val="22"/>
        </w:rPr>
        <w:t>يطبق النصاب وآلية التصويت الواردان في اللائحة الأساسية والأنظمة النافذة. لا يحتسب المتعارض ضمن التصويت على البند محل التعارض، وتثبت النتيجة والامتناع والتحفظ في المحضر.</w:t>
      </w:r>
    </w:p>
    <w:p>
      <w:pPr>
        <w:pStyle w:val="Heading2"/>
        <w:jc w:val="right"/>
        <w:bidi/>
      </w:pPr>
      <w:r>
        <w:rPr>
          <w:rFonts w:ascii="Arial" w:hAnsi="Arial" w:cs="Arial" w:eastAsia="Arial"/>
          <w:b/>
          <w:color w:val="124D67"/>
          <w:sz w:val="28"/>
        </w:rPr>
        <w:t>المادة 13: المشاركة عن بعد</w:t>
      </w:r>
    </w:p>
    <w:p>
      <w:pPr>
        <w:jc w:val="both"/>
        <w:bidi/>
      </w:pPr>
      <w:r>
        <w:rPr>
          <w:rFonts w:ascii="Arial" w:hAnsi="Arial" w:cs="Arial" w:eastAsia="Arial"/>
          <w:b w:val="0"/>
          <w:color w:val="173642"/>
          <w:sz w:val="22"/>
        </w:rPr>
        <w:t>يجوز عقد الاجتماعات والمشاركة والتصويت بواسطة وسائل التقنية الحديثة متى سمحت الأنظمة واللائحة الأساسية، مع التحقق من الهوية وسلامة التصويت وحفظ الأدلة.</w:t>
      </w:r>
    </w:p>
    <w:p>
      <w:pPr>
        <w:pStyle w:val="Heading2"/>
        <w:jc w:val="right"/>
        <w:bidi/>
      </w:pPr>
      <w:r>
        <w:rPr>
          <w:rFonts w:ascii="Arial" w:hAnsi="Arial" w:cs="Arial" w:eastAsia="Arial"/>
          <w:b/>
          <w:color w:val="124D67"/>
          <w:sz w:val="28"/>
        </w:rPr>
        <w:t>المادة 14: الضيوف والمستشارون</w:t>
      </w:r>
    </w:p>
    <w:p>
      <w:pPr>
        <w:jc w:val="both"/>
        <w:bidi/>
      </w:pPr>
      <w:r>
        <w:rPr>
          <w:rFonts w:ascii="Arial" w:hAnsi="Arial" w:cs="Arial" w:eastAsia="Arial"/>
          <w:b w:val="0"/>
          <w:color w:val="173642"/>
          <w:sz w:val="22"/>
        </w:rPr>
        <w:t>يجوز دعوة من يرى المجلس الاستعانة بهم دون حق التصويت، ويلتزمون بالسرية والإفصاح عن التعارض.</w:t>
      </w:r>
    </w:p>
    <w:p>
      <w:pPr>
        <w:pStyle w:val="Heading2"/>
        <w:jc w:val="right"/>
        <w:bidi/>
      </w:pPr>
      <w:r>
        <w:rPr>
          <w:rFonts w:ascii="Arial" w:hAnsi="Arial" w:cs="Arial" w:eastAsia="Arial"/>
          <w:b/>
          <w:color w:val="124D67"/>
          <w:sz w:val="28"/>
        </w:rPr>
        <w:t>المادة 15: المحاضر</w:t>
      </w:r>
    </w:p>
    <w:p>
      <w:pPr>
        <w:jc w:val="both"/>
        <w:bidi/>
      </w:pPr>
      <w:r>
        <w:rPr>
          <w:rFonts w:ascii="Arial" w:hAnsi="Arial" w:cs="Arial" w:eastAsia="Arial"/>
          <w:b w:val="0"/>
          <w:color w:val="173642"/>
          <w:sz w:val="22"/>
        </w:rPr>
        <w:t>يتضمن المحضر التاريخ والمكان والوسيلة والحضور والغياب والنصاب والبنود والمداولات الجوهرية والقرارات وآلية التصويت والتعارضات والمسؤول والموعد. يستوفى توقيع الأعضاء ويعتمد من رئيس المجلس.</w:t>
      </w:r>
    </w:p>
    <w:p>
      <w:pPr>
        <w:pStyle w:val="Heading2"/>
        <w:jc w:val="right"/>
        <w:bidi/>
      </w:pPr>
      <w:r>
        <w:rPr>
          <w:rFonts w:ascii="Arial" w:hAnsi="Arial" w:cs="Arial" w:eastAsia="Arial"/>
          <w:b/>
          <w:color w:val="124D67"/>
          <w:sz w:val="28"/>
        </w:rPr>
        <w:t>المادة 16: القرارات بالتمرير</w:t>
      </w:r>
    </w:p>
    <w:p>
      <w:pPr>
        <w:jc w:val="both"/>
        <w:bidi/>
      </w:pPr>
      <w:r>
        <w:rPr>
          <w:rFonts w:ascii="Arial" w:hAnsi="Arial" w:cs="Arial" w:eastAsia="Arial"/>
          <w:b w:val="0"/>
          <w:color w:val="173642"/>
          <w:sz w:val="22"/>
        </w:rPr>
        <w:t>يجوز اتخاذ قرار بالتمرير في الحالات التي تسمح بها اللائحة الأساسية والأنظمة، على أن يرفق موضوع القرار وأسبابه ومستنداته وتثبت أصوات الأعضاء ويعرض في أول اجتماع لاحق.</w:t>
      </w:r>
    </w:p>
    <w:p>
      <w:pPr>
        <w:pStyle w:val="Heading2"/>
        <w:jc w:val="right"/>
        <w:bidi/>
      </w:pPr>
      <w:r>
        <w:rPr>
          <w:rFonts w:ascii="Arial" w:hAnsi="Arial" w:cs="Arial" w:eastAsia="Arial"/>
          <w:b/>
          <w:color w:val="124D67"/>
          <w:sz w:val="28"/>
        </w:rPr>
        <w:t>المادة 17: سجل القرارات</w:t>
      </w:r>
    </w:p>
    <w:p>
      <w:pPr>
        <w:jc w:val="both"/>
        <w:bidi/>
      </w:pPr>
      <w:r>
        <w:rPr>
          <w:rFonts w:ascii="Arial" w:hAnsi="Arial" w:cs="Arial" w:eastAsia="Arial"/>
          <w:b w:val="0"/>
          <w:color w:val="173642"/>
          <w:sz w:val="22"/>
        </w:rPr>
        <w:t>تنشئ الأمانة سجلًا مرقمًا للقرارات يتضمن المالك التنفيذي والموعد والحالة ودليل الإغلاق، وترفع تقرير متابعة في كل اجتماع.</w:t>
      </w:r>
    </w:p>
    <w:p>
      <w:pPr>
        <w:pStyle w:val="Heading2"/>
        <w:jc w:val="right"/>
        <w:bidi/>
      </w:pPr>
      <w:r>
        <w:rPr>
          <w:rFonts w:ascii="Arial" w:hAnsi="Arial" w:cs="Arial" w:eastAsia="Arial"/>
          <w:b/>
          <w:color w:val="124D67"/>
          <w:sz w:val="28"/>
        </w:rPr>
        <w:t>المادة 18: التفويض</w:t>
      </w:r>
    </w:p>
    <w:p>
      <w:pPr>
        <w:jc w:val="both"/>
        <w:bidi/>
      </w:pPr>
      <w:r>
        <w:rPr>
          <w:rFonts w:ascii="Arial" w:hAnsi="Arial" w:cs="Arial" w:eastAsia="Arial"/>
          <w:b w:val="0"/>
          <w:color w:val="173642"/>
          <w:sz w:val="22"/>
        </w:rPr>
        <w:t>يجوز للمجلس تفويض لجنة أو الرئيس التنفيذي ببعض اختصاصاته مع تحديد النطاق والمدة والحدود والتقارير، باستثناء ما يستوجب موافقة الجمعية العمومية أو المركز أو لا يقبل التفويض نظامًا.</w:t>
      </w:r>
    </w:p>
    <w:p>
      <w:pPr>
        <w:pStyle w:val="Heading1"/>
        <w:jc w:val="right"/>
        <w:bidi/>
      </w:pPr>
      <w:r>
        <w:rPr>
          <w:rFonts w:ascii="Arial" w:hAnsi="Arial" w:cs="Arial" w:eastAsia="Arial"/>
          <w:b/>
          <w:color w:val="124D67"/>
          <w:sz w:val="34"/>
        </w:rPr>
        <w:t>الباب الثالث: اللجان</w:t>
      </w:r>
    </w:p>
    <w:p>
      <w:pPr>
        <w:pStyle w:val="Heading2"/>
        <w:jc w:val="right"/>
        <w:bidi/>
      </w:pPr>
      <w:r>
        <w:rPr>
          <w:rFonts w:ascii="Arial" w:hAnsi="Arial" w:cs="Arial" w:eastAsia="Arial"/>
          <w:b/>
          <w:color w:val="124D67"/>
          <w:sz w:val="28"/>
        </w:rPr>
        <w:t>المادة 19: مبدأ تشكيل اللجان</w:t>
      </w:r>
    </w:p>
    <w:p>
      <w:pPr>
        <w:jc w:val="both"/>
        <w:bidi/>
      </w:pPr>
      <w:r>
        <w:rPr>
          <w:rFonts w:ascii="Arial" w:hAnsi="Arial" w:cs="Arial" w:eastAsia="Arial"/>
          <w:b w:val="0"/>
          <w:color w:val="173642"/>
          <w:sz w:val="22"/>
        </w:rPr>
        <w:t>لا تمارس أي لجنة صلاحية بمجرد ورودها في الهيكل؛ بل يصدر قرار تشكيل وميثاق اختصاص يحدد الاسم والغرض والأعضاء والرئيس والمدة والنصاب والتقارير.</w:t>
      </w:r>
    </w:p>
    <w:p>
      <w:pPr>
        <w:pStyle w:val="Heading2"/>
        <w:jc w:val="right"/>
        <w:bidi/>
      </w:pPr>
      <w:r>
        <w:rPr>
          <w:rFonts w:ascii="Arial" w:hAnsi="Arial" w:cs="Arial" w:eastAsia="Arial"/>
          <w:b/>
          <w:color w:val="124D67"/>
          <w:sz w:val="28"/>
        </w:rPr>
        <w:t>المادة 20: اللجنتان الإلزاميتان</w:t>
      </w:r>
    </w:p>
    <w:p>
      <w:pPr>
        <w:jc w:val="both"/>
        <w:bidi/>
      </w:pPr>
      <w:r>
        <w:rPr>
          <w:rFonts w:ascii="Arial" w:hAnsi="Arial" w:cs="Arial" w:eastAsia="Arial"/>
          <w:b w:val="0"/>
          <w:color w:val="173642"/>
          <w:sz w:val="22"/>
        </w:rPr>
        <w:t>يشكل المجلس لجنة للمراجعة ولجنة للترشيحات والمكافآت وفق القواعد النافذة، ويجوز له تشكيل لجنة تنفيذية أو لجان أخرى عند الحاجة.</w:t>
      </w:r>
    </w:p>
    <w:p>
      <w:pPr>
        <w:pStyle w:val="Heading2"/>
        <w:jc w:val="right"/>
        <w:bidi/>
      </w:pPr>
      <w:r>
        <w:rPr>
          <w:rFonts w:ascii="Arial" w:hAnsi="Arial" w:cs="Arial" w:eastAsia="Arial"/>
          <w:b/>
          <w:color w:val="124D67"/>
          <w:sz w:val="28"/>
        </w:rPr>
        <w:t>المادة 21: لجنة المراجعة</w:t>
      </w:r>
    </w:p>
    <w:p>
      <w:pPr>
        <w:jc w:val="both"/>
        <w:bidi/>
      </w:pPr>
      <w:r>
        <w:rPr>
          <w:rFonts w:ascii="Arial" w:hAnsi="Arial" w:cs="Arial" w:eastAsia="Arial"/>
          <w:b w:val="0"/>
          <w:color w:val="173642"/>
          <w:sz w:val="22"/>
        </w:rPr>
        <w:t>تختص بسلامة التقارير المالية والرقابة الداخلية والمخاطر والالتزام وأعمال المراجعة الداخلية والخارجية ومتابعة الملاحظات، وترفع تقاريرها إلى المجلس دون تولي التنفيذ.</w:t>
      </w:r>
    </w:p>
    <w:p>
      <w:pPr>
        <w:pStyle w:val="Heading2"/>
        <w:jc w:val="right"/>
        <w:bidi/>
      </w:pPr>
      <w:r>
        <w:rPr>
          <w:rFonts w:ascii="Arial" w:hAnsi="Arial" w:cs="Arial" w:eastAsia="Arial"/>
          <w:b/>
          <w:color w:val="124D67"/>
          <w:sz w:val="28"/>
        </w:rPr>
        <w:t>المادة 22: لجنة الترشيحات والمكافآت</w:t>
      </w:r>
    </w:p>
    <w:p>
      <w:pPr>
        <w:jc w:val="both"/>
        <w:bidi/>
      </w:pPr>
      <w:r>
        <w:rPr>
          <w:rFonts w:ascii="Arial" w:hAnsi="Arial" w:cs="Arial" w:eastAsia="Arial"/>
          <w:b w:val="0"/>
          <w:color w:val="173642"/>
          <w:sz w:val="22"/>
        </w:rPr>
        <w:t>تراجع احتياجات المجلس والقيادات من الكفاءات، وسياسات الترشيح والتعاقب والمكافآت وتقييم الأداء، وترفع توصياتها للجهة صاحبة الصلاحية.</w:t>
      </w:r>
    </w:p>
    <w:p>
      <w:pPr>
        <w:pStyle w:val="Heading2"/>
        <w:jc w:val="right"/>
        <w:bidi/>
      </w:pPr>
      <w:r>
        <w:rPr>
          <w:rFonts w:ascii="Arial" w:hAnsi="Arial" w:cs="Arial" w:eastAsia="Arial"/>
          <w:b/>
          <w:color w:val="124D67"/>
          <w:sz w:val="28"/>
        </w:rPr>
        <w:t>المادة 23: اللجنة التنفيذية</w:t>
      </w:r>
    </w:p>
    <w:p>
      <w:pPr>
        <w:jc w:val="both"/>
        <w:bidi/>
      </w:pPr>
      <w:r>
        <w:rPr>
          <w:rFonts w:ascii="Arial" w:hAnsi="Arial" w:cs="Arial" w:eastAsia="Arial"/>
          <w:b w:val="0"/>
          <w:color w:val="173642"/>
          <w:sz w:val="22"/>
        </w:rPr>
        <w:t>يجوز تشكيلها لتسريع المتابعة والقرارات المفوضة، ولا تحل محل المجلس ولا تتجاوز التفويض ولا تمارس صلاحيات غير مثبتة في قرار تشكيلها.</w:t>
      </w:r>
    </w:p>
    <w:p>
      <w:pPr>
        <w:pStyle w:val="Heading2"/>
        <w:jc w:val="right"/>
        <w:bidi/>
      </w:pPr>
      <w:r>
        <w:rPr>
          <w:rFonts w:ascii="Arial" w:hAnsi="Arial" w:cs="Arial" w:eastAsia="Arial"/>
          <w:b/>
          <w:color w:val="124D67"/>
          <w:sz w:val="28"/>
        </w:rPr>
        <w:t>المادة 24: اجتماعات اللجان</w:t>
      </w:r>
    </w:p>
    <w:p>
      <w:pPr>
        <w:jc w:val="both"/>
        <w:bidi/>
      </w:pPr>
      <w:r>
        <w:rPr>
          <w:rFonts w:ascii="Arial" w:hAnsi="Arial" w:cs="Arial" w:eastAsia="Arial"/>
          <w:b w:val="0"/>
          <w:color w:val="173642"/>
          <w:sz w:val="22"/>
        </w:rPr>
        <w:t>تجتمع اللجنة بحسب ميثاقها وخطتها، ويثبت النصاب والتصويت والتعارضات والمحاضر، وترفع تقريرًا بعد كل اجتماع وتقريرًا سنويًا للمجلس.</w:t>
      </w:r>
    </w:p>
    <w:p>
      <w:pPr>
        <w:pStyle w:val="Heading1"/>
        <w:jc w:val="right"/>
        <w:bidi/>
      </w:pPr>
      <w:r>
        <w:rPr>
          <w:rFonts w:ascii="Arial" w:hAnsi="Arial" w:cs="Arial" w:eastAsia="Arial"/>
          <w:b/>
          <w:color w:val="124D67"/>
          <w:sz w:val="34"/>
        </w:rPr>
        <w:t>الباب الرابع: النزاهة والتقييم والأحكام الختامية</w:t>
      </w:r>
    </w:p>
    <w:p>
      <w:pPr>
        <w:pStyle w:val="Heading2"/>
        <w:jc w:val="right"/>
        <w:bidi/>
      </w:pPr>
      <w:r>
        <w:rPr>
          <w:rFonts w:ascii="Arial" w:hAnsi="Arial" w:cs="Arial" w:eastAsia="Arial"/>
          <w:b/>
          <w:color w:val="124D67"/>
          <w:sz w:val="28"/>
        </w:rPr>
        <w:t>المادة 25: تعارض المصالح</w:t>
      </w:r>
    </w:p>
    <w:p>
      <w:pPr>
        <w:jc w:val="both"/>
        <w:bidi/>
      </w:pPr>
      <w:r>
        <w:rPr>
          <w:rFonts w:ascii="Arial" w:hAnsi="Arial" w:cs="Arial" w:eastAsia="Arial"/>
          <w:b w:val="0"/>
          <w:color w:val="173642"/>
          <w:sz w:val="22"/>
        </w:rPr>
        <w:t>يفصح العضو عند التعيين وسنويًا وعند نشوء حالة، ويمتنع عن استلام المعلومات غير اللازمة والمناقشة والتصويت، ويثبت الإجراء في المحضر والسجل.</w:t>
      </w:r>
    </w:p>
    <w:p>
      <w:pPr>
        <w:pStyle w:val="Heading2"/>
        <w:jc w:val="right"/>
        <w:bidi/>
      </w:pPr>
      <w:r>
        <w:rPr>
          <w:rFonts w:ascii="Arial" w:hAnsi="Arial" w:cs="Arial" w:eastAsia="Arial"/>
          <w:b/>
          <w:color w:val="124D67"/>
          <w:sz w:val="28"/>
        </w:rPr>
        <w:t>المادة 26: السرية والمعلومات</w:t>
      </w:r>
    </w:p>
    <w:p>
      <w:pPr>
        <w:jc w:val="both"/>
        <w:bidi/>
      </w:pPr>
      <w:r>
        <w:rPr>
          <w:rFonts w:ascii="Arial" w:hAnsi="Arial" w:cs="Arial" w:eastAsia="Arial"/>
          <w:b w:val="0"/>
          <w:color w:val="173642"/>
          <w:sz w:val="22"/>
        </w:rPr>
        <w:t>وثائق المجلس واللجان سرية بحسب تصنيفها، وتتاح للأعضاء عبر قنوات معتمدة، ولا يجوز نسخها أو تداولها أو استخدامها خارج أغراض العمل.</w:t>
      </w:r>
    </w:p>
    <w:p>
      <w:pPr>
        <w:pStyle w:val="Heading2"/>
        <w:jc w:val="right"/>
        <w:bidi/>
      </w:pPr>
      <w:r>
        <w:rPr>
          <w:rFonts w:ascii="Arial" w:hAnsi="Arial" w:cs="Arial" w:eastAsia="Arial"/>
          <w:b/>
          <w:color w:val="124D67"/>
          <w:sz w:val="28"/>
        </w:rPr>
        <w:t>المادة 27: تقييم الأداء</w:t>
      </w:r>
    </w:p>
    <w:p>
      <w:pPr>
        <w:jc w:val="both"/>
        <w:bidi/>
      </w:pPr>
      <w:r>
        <w:rPr>
          <w:rFonts w:ascii="Arial" w:hAnsi="Arial" w:cs="Arial" w:eastAsia="Arial"/>
          <w:b w:val="0"/>
          <w:color w:val="173642"/>
          <w:sz w:val="22"/>
        </w:rPr>
        <w:t>يجري تقييم سنوي للمجلس واللجان والأعضاء وأمانة المجلس، ويتناول الحضور وجودة القرارات والمتابعة وإدارة المخاطر والتعارضات والقيمة المضافة.</w:t>
      </w:r>
    </w:p>
    <w:p>
      <w:pPr>
        <w:pStyle w:val="Heading2"/>
        <w:jc w:val="right"/>
        <w:bidi/>
      </w:pPr>
      <w:r>
        <w:rPr>
          <w:rFonts w:ascii="Arial" w:hAnsi="Arial" w:cs="Arial" w:eastAsia="Arial"/>
          <w:b/>
          <w:color w:val="124D67"/>
          <w:sz w:val="28"/>
        </w:rPr>
        <w:t>المادة 28: الاستلام والتسليم</w:t>
      </w:r>
    </w:p>
    <w:p>
      <w:pPr>
        <w:jc w:val="both"/>
        <w:bidi/>
      </w:pPr>
      <w:r>
        <w:rPr>
          <w:rFonts w:ascii="Arial" w:hAnsi="Arial" w:cs="Arial" w:eastAsia="Arial"/>
          <w:b w:val="0"/>
          <w:color w:val="173642"/>
          <w:sz w:val="22"/>
        </w:rPr>
        <w:t>عند انتهاء الدورة يعد محضر استلام وتسليم يشمل السجلات والقرارات والعقود والحسابات والالتزامات والمخاطر والقضايا والملفات الإلكترونية والصلاحيات.</w:t>
      </w:r>
    </w:p>
    <w:p>
      <w:pPr>
        <w:pStyle w:val="Heading2"/>
        <w:jc w:val="right"/>
        <w:bidi/>
      </w:pPr>
      <w:r>
        <w:rPr>
          <w:rFonts w:ascii="Arial" w:hAnsi="Arial" w:cs="Arial" w:eastAsia="Arial"/>
          <w:b/>
          <w:color w:val="124D67"/>
          <w:sz w:val="28"/>
        </w:rPr>
        <w:t>المادة 29: المخالفات والغياب</w:t>
      </w:r>
    </w:p>
    <w:p>
      <w:pPr>
        <w:jc w:val="both"/>
        <w:bidi/>
      </w:pPr>
      <w:r>
        <w:rPr>
          <w:rFonts w:ascii="Arial" w:hAnsi="Arial" w:cs="Arial" w:eastAsia="Arial"/>
          <w:b w:val="0"/>
          <w:color w:val="173642"/>
          <w:sz w:val="22"/>
        </w:rPr>
        <w:t>تعالج حالات الغياب أو الإخلال وفق النظام واللائحة واللائحة الأساسية، مع التوثيق وسماع الإفادة والرفع للجهة المختصة.</w:t>
      </w:r>
    </w:p>
    <w:p>
      <w:pPr>
        <w:pStyle w:val="Heading2"/>
        <w:jc w:val="right"/>
        <w:bidi/>
      </w:pPr>
      <w:r>
        <w:rPr>
          <w:rFonts w:ascii="Arial" w:hAnsi="Arial" w:cs="Arial" w:eastAsia="Arial"/>
          <w:b/>
          <w:color w:val="124D67"/>
          <w:sz w:val="28"/>
        </w:rPr>
        <w:t>المادة 30: النفاذ والمراجعة</w:t>
      </w:r>
    </w:p>
    <w:p>
      <w:pPr>
        <w:jc w:val="both"/>
        <w:bidi/>
      </w:pPr>
      <w:r>
        <w:rPr>
          <w:rFonts w:ascii="Arial" w:hAnsi="Arial" w:cs="Arial" w:eastAsia="Arial"/>
          <w:b w:val="0"/>
          <w:color w:val="173642"/>
          <w:sz w:val="22"/>
        </w:rPr>
        <w:t>تعمل هذه اللائحة من تاريخ اعتمادها، وتراجع كل ثلاث سنوات أو عند تعديل الأنظمة أو اللائحة الأساسية أو الهيكل، أيهما أسبق.</w:t>
      </w:r>
    </w:p>
    <w:p>
      <w:pPr>
        <w:pStyle w:val="Heading1"/>
        <w:jc w:val="right"/>
        <w:bidi/>
      </w:pPr>
      <w:r>
        <w:rPr>
          <w:rFonts w:ascii="Arial" w:hAnsi="Arial" w:cs="Arial" w:eastAsia="Arial"/>
          <w:b/>
          <w:color w:val="124D67"/>
          <w:sz w:val="34"/>
        </w:rPr>
        <w:t>ملحق (أ): الحد الأدنى لقرار تشكيل لجنة</w:t>
      </w:r>
    </w:p>
    <w:tbl>
      <w:tblPr>
        <w:tblStyle w:val="TableGrid"/>
        <w:tblW w:type="auto" w:w="0"/>
        <w:jc w:val="center"/>
        <w:tblLayout w:type="fixed"/>
        <w:tblLook w:firstColumn="1" w:firstRow="1" w:lastColumn="0" w:lastRow="0" w:noHBand="0" w:noVBand="1" w:val="04A0"/>
        <w:bidiVisual w:val="1"/>
      </w:tblPr>
      <w:tblGrid>
        <w:gridCol w:w="4819"/>
        <w:gridCol w:w="481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الحقل</w:t>
            </w:r>
          </w:p>
        </w:tc>
        <w:tc>
          <w:tcPr>
            <w:tcW w:type="dxa" w:w="5102"/>
            <w:vAlign w:val="center"/>
            <w:tcMar>
              <w:top w:w="80" w:type="dxa"/>
              <w:bottom w:w="80" w:type="dxa"/>
              <w:start w:w="100" w:type="dxa"/>
              <w:end w:w="100" w:type="dxa"/>
            </w:tcMar>
            <w:shd w:fill="124D67"/>
          </w:tcPr>
          <w:p>
            <w:pPr>
              <w:jc w:val="center"/>
              <w:bidi/>
            </w:pPr>
            <w:r/>
            <w:r>
              <w:rPr>
                <w:rFonts w:ascii="Arial" w:hAnsi="Arial" w:cs="Arial" w:eastAsia="Arial"/>
                <w:b/>
                <w:color w:val="FFFFFF"/>
                <w:sz w:val="18"/>
              </w:rPr>
              <w:t>البيان</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اسم اللجنة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نوعها</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دائمة / مؤقتة</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الغرض والاختصاصات</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الرئيس والأعضاء</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مدة العمل</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من .... إلى ....</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الصلاحيات المفوضة</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النصاب والتصويت</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8"/>
              </w:rPr>
              <w:t>دورية التقارير</w:t>
            </w:r>
          </w:p>
        </w:tc>
        <w:tc>
          <w:tcPr>
            <w:tcW w:type="dxa" w:w="5102"/>
            <w:vAlign w:val="center"/>
            <w:tcMar>
              <w:top w:w="80" w:type="dxa"/>
              <w:bottom w:w="80" w:type="dxa"/>
              <w:start w:w="100" w:type="dxa"/>
              <w:end w:w="100" w:type="dxa"/>
            </w:tcMar>
          </w:tcPr>
          <w:p>
            <w:pPr>
              <w:jc w:val="center"/>
              <w:bidi/>
            </w:pPr>
            <w:r/>
            <w:r>
              <w:rPr>
                <w:rFonts w:ascii="Arial" w:hAnsi="Arial" w:cs="Arial" w:eastAsia="Arial"/>
                <w:b w:val="0"/>
                <w:color w:val="173642"/>
                <w:sz w:val="18"/>
              </w:rPr>
              <w:t>........................</w:t>
            </w:r>
          </w:p>
        </w:tc>
      </w:tr>
    </w:tbl>
    <w:p>
      <w:pPr>
        <w:pStyle w:val="Heading1"/>
        <w:jc w:val="right"/>
        <w:bidi/>
      </w:pPr>
      <w:r>
        <w:rPr>
          <w:rFonts w:ascii="Arial" w:hAnsi="Arial" w:cs="Arial" w:eastAsia="Arial"/>
          <w:b/>
          <w:color w:val="124D67"/>
          <w:sz w:val="34"/>
        </w:rPr>
        <w:t>ملحق (ب): جدول أعمال المجلس القياسي</w:t>
      </w:r>
    </w:p>
    <w:tbl>
      <w:tblPr>
        <w:tblStyle w:val="TableGrid"/>
        <w:tblW w:type="auto" w:w="0"/>
        <w:jc w:val="center"/>
        <w:tblLayout w:type="fixed"/>
        <w:tblLook w:firstColumn="1" w:firstRow="1" w:lastColumn="0" w:lastRow="0" w:noHBand="0" w:noVBand="1" w:val="04A0"/>
        <w:bidiVisual w:val="1"/>
      </w:tblPr>
      <w:tblGrid>
        <w:gridCol w:w="2409"/>
        <w:gridCol w:w="2409"/>
        <w:gridCol w:w="2409"/>
        <w:gridCol w:w="2409"/>
      </w:tblGrid>
      <w:tr>
        <w:trPr>
          <w:tblHeader w:val="true"/>
        </w:trPr>
        <w:tc>
          <w:tcPr>
            <w:tcW w:type="dxa" w:w="2835"/>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البند</w:t>
            </w:r>
          </w:p>
        </w:tc>
        <w:tc>
          <w:tcPr>
            <w:tcW w:type="dxa" w:w="1701"/>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التصنيف</w:t>
            </w:r>
          </w:p>
        </w:tc>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المسؤول</w:t>
            </w:r>
          </w:p>
        </w:tc>
        <w:tc>
          <w:tcPr>
            <w:tcW w:type="dxa" w:w="2268"/>
            <w:vAlign w:val="center"/>
            <w:tcMar>
              <w:top w:w="80" w:type="dxa"/>
              <w:bottom w:w="80" w:type="dxa"/>
              <w:start w:w="100" w:type="dxa"/>
              <w:end w:w="100" w:type="dxa"/>
            </w:tcMar>
            <w:shd w:fill="124D67"/>
          </w:tcPr>
          <w:p>
            <w:pPr>
              <w:jc w:val="center"/>
              <w:bidi/>
            </w:pPr>
            <w:r/>
            <w:r>
              <w:rPr>
                <w:rFonts w:ascii="Arial" w:hAnsi="Arial" w:cs="Arial" w:eastAsia="Arial"/>
                <w:b/>
                <w:color w:val="FFFFFF"/>
                <w:sz w:val="17"/>
              </w:rPr>
              <w:t>المخرج</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7"/>
              </w:rPr>
              <w:t>إقرار المحضر السابق</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7"/>
              </w:rPr>
              <w:t>اعتماد</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أمين المجلس</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محضر معتمد</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7"/>
              </w:rPr>
              <w:t>متابعة القرارات</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7"/>
              </w:rPr>
              <w:t>متابعة</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الرئيس التنفيذي</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حالة التنفيذ</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7"/>
              </w:rPr>
              <w:t>الأداء والموازنة</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7"/>
              </w:rPr>
              <w:t>مناقشة/إحاطة</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القيادة التنفيذية</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توجيهات وقرارات</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7"/>
              </w:rPr>
              <w:t>المخاطر والالتزام</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7"/>
              </w:rPr>
              <w:t>مناقشة</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الحوكمة/لجنة المراجعة</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معالجات</w:t>
            </w:r>
          </w:p>
        </w:tc>
      </w:tr>
      <w:tr>
        <w:tc>
          <w:tcPr>
            <w:tcW w:type="dxa" w:w="2835"/>
            <w:vAlign w:val="center"/>
            <w:tcMar>
              <w:top w:w="80" w:type="dxa"/>
              <w:bottom w:w="80" w:type="dxa"/>
              <w:start w:w="100" w:type="dxa"/>
              <w:end w:w="100" w:type="dxa"/>
            </w:tcMar>
          </w:tcPr>
          <w:p>
            <w:pPr>
              <w:jc w:val="right"/>
              <w:bidi/>
            </w:pPr>
            <w:r/>
            <w:r>
              <w:rPr>
                <w:rFonts w:ascii="Arial" w:hAnsi="Arial" w:cs="Arial" w:eastAsia="Arial"/>
                <w:b w:val="0"/>
                <w:color w:val="173642"/>
                <w:sz w:val="17"/>
              </w:rPr>
              <w:t>موضوعات القرار</w:t>
            </w:r>
          </w:p>
        </w:tc>
        <w:tc>
          <w:tcPr>
            <w:tcW w:type="dxa" w:w="1701"/>
            <w:vAlign w:val="center"/>
            <w:tcMar>
              <w:top w:w="80" w:type="dxa"/>
              <w:bottom w:w="80" w:type="dxa"/>
              <w:start w:w="100" w:type="dxa"/>
              <w:end w:w="100" w:type="dxa"/>
            </w:tcMar>
          </w:tcPr>
          <w:p>
            <w:pPr>
              <w:jc w:val="center"/>
              <w:bidi/>
            </w:pPr>
            <w:r/>
            <w:r>
              <w:rPr>
                <w:rFonts w:ascii="Arial" w:hAnsi="Arial" w:cs="Arial" w:eastAsia="Arial"/>
                <w:b w:val="0"/>
                <w:color w:val="173642"/>
                <w:sz w:val="17"/>
              </w:rPr>
              <w:t>اعتماد</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مالك الموضوع</w:t>
            </w:r>
          </w:p>
        </w:tc>
        <w:tc>
          <w:tcPr>
            <w:tcW w:type="dxa" w:w="2268"/>
            <w:vAlign w:val="center"/>
            <w:tcMar>
              <w:top w:w="80" w:type="dxa"/>
              <w:bottom w:w="80" w:type="dxa"/>
              <w:start w:w="100" w:type="dxa"/>
              <w:end w:w="100" w:type="dxa"/>
            </w:tcMar>
          </w:tcPr>
          <w:p>
            <w:pPr>
              <w:jc w:val="center"/>
              <w:bidi/>
            </w:pPr>
            <w:r/>
            <w:r>
              <w:rPr>
                <w:rFonts w:ascii="Arial" w:hAnsi="Arial" w:cs="Arial" w:eastAsia="Arial"/>
                <w:b w:val="0"/>
                <w:color w:val="173642"/>
                <w:sz w:val="17"/>
              </w:rPr>
              <w:t>قرار مرقم</w:t>
            </w:r>
          </w:p>
        </w:tc>
      </w:tr>
    </w:tbl>
    <w:p>
      <w:pPr>
        <w:pStyle w:val="Heading1"/>
        <w:jc w:val="right"/>
        <w:bidi/>
      </w:pPr>
      <w:r>
        <w:rPr>
          <w:rFonts w:ascii="Arial" w:hAnsi="Arial" w:cs="Arial" w:eastAsia="Arial"/>
          <w:b/>
          <w:color w:val="124D67"/>
          <w:sz w:val="34"/>
        </w:rPr>
        <w:t>المرجعيات</w:t>
      </w:r>
    </w:p>
    <w:p>
      <w:pPr>
        <w:pStyle w:val="ListBullet"/>
        <w:ind w:left="227" w:right="227"/>
        <w:jc w:val="right"/>
        <w:bidi/>
      </w:pPr>
      <w:r>
        <w:rPr>
          <w:rFonts w:ascii="Arial" w:hAnsi="Arial" w:cs="Arial" w:eastAsia="Arial"/>
          <w:b w:val="0"/>
          <w:color w:val="173642"/>
          <w:sz w:val="21"/>
        </w:rPr>
        <w:t>نظام الجمعيات والمؤسسات الأهلية الصادر بالمرسوم الملكي رقم (م/8) وتاريخ 19/2/1437هـ.</w:t>
      </w:r>
    </w:p>
    <w:p>
      <w:pPr>
        <w:pStyle w:val="ListBullet"/>
        <w:ind w:left="227" w:right="227"/>
        <w:jc w:val="right"/>
        <w:bidi/>
      </w:pPr>
      <w:r>
        <w:rPr>
          <w:rFonts w:ascii="Arial" w:hAnsi="Arial" w:cs="Arial" w:eastAsia="Arial"/>
          <w:b w:val="0"/>
          <w:color w:val="173642"/>
          <w:sz w:val="21"/>
        </w:rPr>
        <w:t>اللائحة التنفيذية لنظام الجمعيات والمؤسسات الأهلية المنشورة في جريدة أم القرى بتاريخ 6 فبراير 2026م.</w:t>
      </w:r>
    </w:p>
    <w:p>
      <w:pPr>
        <w:pStyle w:val="ListBullet"/>
        <w:ind w:left="227" w:right="227"/>
        <w:jc w:val="right"/>
        <w:bidi/>
      </w:pPr>
      <w:r>
        <w:rPr>
          <w:rFonts w:ascii="Arial" w:hAnsi="Arial" w:cs="Arial" w:eastAsia="Arial"/>
          <w:b w:val="0"/>
          <w:color w:val="173642"/>
          <w:sz w:val="21"/>
        </w:rPr>
        <w:t>قواعد حوكمة الجمعيات والمؤسسات الأهلية المعدلة والنافذة في 2026م.</w:t>
      </w:r>
    </w:p>
    <w:p>
      <w:pPr>
        <w:pStyle w:val="ListBullet"/>
        <w:ind w:left="227" w:right="227"/>
        <w:jc w:val="right"/>
        <w:bidi/>
      </w:pPr>
      <w:r>
        <w:rPr>
          <w:rFonts w:ascii="Arial" w:hAnsi="Arial" w:cs="Arial" w:eastAsia="Arial"/>
          <w:b w:val="0"/>
          <w:color w:val="173642"/>
          <w:sz w:val="21"/>
        </w:rPr>
        <w:t>اللائحة الأساسية المعتمدة للجمعية، والهيكل التنظيمي والدليل التنظيمي والسياسات الداخلية المعتمدة.</w:t>
      </w:r>
    </w:p>
    <w:p>
      <w:pPr>
        <w:pStyle w:val="ListBullet"/>
        <w:ind w:left="227" w:right="227"/>
        <w:jc w:val="right"/>
        <w:bidi/>
      </w:pPr>
      <w:r>
        <w:rPr>
          <w:rFonts w:ascii="Arial" w:hAnsi="Arial" w:cs="Arial" w:eastAsia="Arial"/>
          <w:b w:val="0"/>
          <w:color w:val="173642"/>
          <w:sz w:val="21"/>
        </w:rPr>
        <w:t>https://www.uqn.gov.sa/decisions-and-regulations/4000284</w:t>
      </w:r>
    </w:p>
    <w:p>
      <w:pPr>
        <w:pStyle w:val="ListBullet"/>
        <w:ind w:left="227" w:right="227"/>
        <w:jc w:val="right"/>
        <w:bidi/>
      </w:pPr>
      <w:r>
        <w:rPr>
          <w:rFonts w:ascii="Arial" w:hAnsi="Arial" w:cs="Arial" w:eastAsia="Arial"/>
          <w:b w:val="0"/>
          <w:color w:val="173642"/>
          <w:sz w:val="21"/>
        </w:rPr>
        <w:t>https://ncnp.gov.sa/ar/regulations</w:t>
      </w:r>
    </w:p>
    <w:sectPr w:rsidR="00FC693F" w:rsidRPr="0006063C" w:rsidSect="00034616">
      <w:headerReference w:type="default" r:id="rId9"/>
      <w:footerReference w:type="default" r:id="rId10"/>
      <w:pgSz w:w="11906" w:h="16838"/>
      <w:pgMar w:top="1191" w:right="1134" w:bottom="1020" w:left="1134"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bidi/>
    </w:pPr>
    <w:r>
      <w:rPr>
        <w:rFonts w:ascii="Arial" w:hAnsi="Arial" w:cs="Arial" w:eastAsia="Arial"/>
        <w:b w:val="0"/>
        <w:color w:val="124D67"/>
        <w:sz w:val="18"/>
      </w:rPr>
      <w:t xml:space="preserve">جمعية البلسم للتدريب والتطوير الصحي  |  لائحة مجلس الإدارة واللجان  |  الإصدار الأول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2520000" cy="569952"/>
          <wp:docPr id="1" name="Picture 1" descr="شعار جمعية البلسم للتدريب والتطوير الصحي" title="شعار جمعية البلسم"/>
          <wp:cNvGraphicFramePr>
            <a:graphicFrameLocks noChangeAspect="1"/>
          </wp:cNvGraphicFramePr>
          <a:graphic>
            <a:graphicData uri="http://schemas.openxmlformats.org/drawingml/2006/picture">
              <pic:pic>
                <pic:nvPicPr>
                  <pic:cNvPr id="0" name="image1.png"/>
                  <pic:cNvPicPr/>
                </pic:nvPicPr>
                <pic:blipFill>
                  <a:blip r:embed="rId1"/>
                  <a:stretch>
                    <a:fillRect/>
                  </a:stretch>
                </pic:blipFill>
                <pic:spPr>
                  <a:xfrm>
                    <a:off x="0" y="0"/>
                    <a:ext cx="2520000" cy="569952"/>
                  </a:xfrm>
                  <a:prstGeom prst="rect"/>
                </pic:spPr>
              </pic:pic>
            </a:graphicData>
          </a:graphic>
        </wp:inline>
      </w:drawing>
    </w:r>
  </w:p>
  <w:tbl>
    <w:tblPr>
      <w:tblW w:type="auto" w:w="0"/>
      <w:jc w:val="center"/>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7739"/>
      <w:gridCol w:w="7739"/>
    </w:tblGrid>
    <w:tr>
      <w:tc>
        <w:tcPr>
          <w:tcW w:type="dxa" w:w="2600"/>
          <w:shd w:fill="16A889"/>
          <w:tcMar>
            <w:top w:w="95" w:type="dxa"/>
            <w:bottom w:w="95" w:type="dxa"/>
            <w:start w:w="90" w:type="dxa"/>
            <w:end w:w="90" w:type="dxa"/>
          </w:tcMar>
          <w:vAlign w:val="center"/>
        </w:tcPr>
        <w:p>
          <w:pPr>
            <w:spacing w:before="0" w:after="0" w:line="240" w:lineRule="auto"/>
            <w:jc w:val="center"/>
            <w:bidi/>
          </w:pPr>
          <w:r/>
          <w:r>
            <w:rPr>
              <w:rFonts w:ascii="Arial" w:hAnsi="Arial" w:cs="Arial"/>
              <w:b/>
              <w:color w:val="19333D"/>
              <w:sz w:val="20"/>
            </w:rPr>
          </w:r>
        </w:p>
      </w:tc>
      <w:tc>
        <w:tcPr>
          <w:tcW w:type="dxa" w:w="12800"/>
          <w:shd w:fill="0D4E68"/>
          <w:tcMar>
            <w:top w:w="95" w:type="dxa"/>
            <w:bottom w:w="95" w:type="dxa"/>
            <w:start w:w="90" w:type="dxa"/>
            <w:end w:w="90" w:type="dxa"/>
          </w:tcMar>
          <w:vAlign w:val="center"/>
        </w:tcPr>
        <w:p>
          <w:pPr>
            <w:spacing w:before="0" w:after="0" w:line="240" w:lineRule="auto"/>
            <w:jc w:val="center"/>
            <w:bidi/>
          </w:pPr>
          <w:r/>
          <w:r>
            <w:rPr>
              <w:rFonts w:ascii="Arial" w:hAnsi="Arial" w:cs="Arial"/>
              <w:b/>
              <w:color w:val="19333D"/>
              <w:sz w:val="20"/>
            </w:rPr>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rial" w:hAnsi="Arial" w:cs="Arial"/>
      <w:b/>
      <w:bCs/>
      <w:color w:val="124D67"/>
      <w:sz w:val="34"/>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rial" w:hAnsi="Arial" w:cs="Arial"/>
      <w:b/>
      <w:bCs/>
      <w:color w:val="124D67"/>
      <w:sz w:val="28"/>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cs="Arial"/>
      <w:b/>
      <w:bCs/>
      <w:color w:val="1736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before="0"/>
      <w:contextualSpacing/>
    </w:pPr>
    <w:rPr>
      <w:rFonts w:asciiTheme="majorHAnsi" w:eastAsiaTheme="majorEastAsia" w:hAnsiTheme="majorHAnsi" w:cstheme="majorBidi" w:ascii="Arial" w:hAnsi="Arial" w:cs="Arial"/>
      <w:b/>
      <w:color w:val="124D67"/>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لائحة مجلس الإدارة واللجان</dc:title>
  <dc:subject>تنظيم مجلس الإدارة واللجان واجتماعاتها وقراراتها</dc:subject>
  <dc:creator>جمعية البلسم للتدريب والتطوير الصحي</dc:creator>
  <cp:keywords/>
  <dc:description>generated by python-docx</dc:description>
  <cp:lastModifiedBy/>
  <cp:revision>1</cp:revision>
  <dcterms:created xsi:type="dcterms:W3CDTF">2013-12-23T23:15:00Z</dcterms:created>
  <dcterms:modified xsi:type="dcterms:W3CDTF">2013-12-23T23:15:00Z</dcterms:modified>
  <cp:category/>
</cp:coreProperties>
</file>