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100" w:line="283" w:lineRule="auto"/>
        <w:jc w:val="right"/>
        <w:keepNext w:val="0"/>
        <w:bidi/>
      </w:pPr>
      <w:r>
        <w:rPr>
          <w:rFonts w:ascii="Arial" w:hAnsi="Arial" w:cs="Arial"/>
          <w:b w:val="0"/>
          <w:sz w:val="21"/>
          <w:rtl/>
        </w:rPr>
      </w:r>
    </w:p>
    <w:p>
      <w:pPr>
        <w:spacing w:before="0" w:after="180" w:line="283" w:lineRule="auto"/>
        <w:jc w:val="center"/>
        <w:keepNext w:val="0"/>
        <w:bidi/>
      </w:pPr>
      <w:r>
        <w:rPr>
          <w:rFonts w:ascii="Arial" w:hAnsi="Arial" w:cs="Arial"/>
          <w:b/>
          <w:color w:val="084C61"/>
          <w:sz w:val="50"/>
          <w:rtl/>
        </w:rPr>
        <w:t>سياسة وإجراءات المشتريات</w:t>
      </w:r>
    </w:p>
    <w:p>
      <w:pPr>
        <w:spacing w:before="0" w:after="500" w:line="283" w:lineRule="auto"/>
        <w:jc w:val="center"/>
        <w:keepNext w:val="0"/>
        <w:bidi/>
      </w:pPr>
      <w:r>
        <w:rPr>
          <w:rFonts w:ascii="Arial" w:hAnsi="Arial" w:cs="Arial"/>
          <w:b/>
          <w:color w:val="2F7D59"/>
          <w:sz w:val="28"/>
          <w:rtl/>
        </w:rPr>
        <w:t>جمعية البلسم للتدريب والتطوير الصحي</w:t>
      </w:r>
    </w:p>
    <w:p>
      <w:pPr>
        <w:spacing w:before="0" w:after="1400" w:line="283" w:lineRule="auto"/>
        <w:jc w:val="center"/>
        <w:keepNext w:val="0"/>
        <w:bidi/>
      </w:pPr>
      <w:r>
        <w:rPr>
          <w:rFonts w:ascii="Arial" w:hAnsi="Arial" w:cs="Arial"/>
          <w:b w:val="0"/>
          <w:color w:val="5A6770"/>
          <w:sz w:val="22"/>
          <w:rtl/>
        </w:rPr>
        <w:t>وثيقة داخلية للحوكمة والضبط المالي والتشغيلي</w:t>
      </w:r>
    </w:p>
    <w:p>
      <w:pPr>
        <w:spacing w:before="0" w:after="100" w:line="283" w:lineRule="auto"/>
        <w:jc w:val="center"/>
        <w:keepNext w:val="0"/>
        <w:bidi/>
      </w:pPr>
      <w:r>
        <w:rPr>
          <w:rFonts w:ascii="Arial" w:hAnsi="Arial" w:cs="Arial"/>
          <w:b w:val="0"/>
          <w:color w:val="5A6770"/>
          <w:sz w:val="19"/>
          <w:rtl/>
        </w:rPr>
        <w:t>تعمل بها من تاريخ النفاذ المثبت في قرار مجلس الإدارة</w:t>
      </w:r>
    </w:p>
    <w:p>
      <w:r>
        <w:br w:type="page"/>
      </w:r>
    </w:p>
    <w:p>
      <w:pPr>
        <w:spacing w:before="200" w:after="100" w:line="283" w:lineRule="auto"/>
        <w:jc w:val="right"/>
        <w:keepNext/>
        <w:bidi/>
      </w:pPr>
      <w:r>
        <w:rPr>
          <w:rFonts w:ascii="Arial" w:hAnsi="Arial" w:cs="Arial"/>
          <w:b/>
          <w:color w:val="084C61"/>
          <w:sz w:val="30"/>
          <w:rtl/>
        </w:rPr>
        <w:t>صفحة اعتماد الوثيقة</w:t>
      </w:r>
    </w:p>
    <w:p>
      <w:pPr>
        <w:spacing w:before="0" w:after="240" w:line="283" w:lineRule="auto"/>
        <w:jc w:val="right"/>
        <w:keepNext w:val="0"/>
        <w:bidi/>
      </w:pPr>
      <w:r>
        <w:rPr>
          <w:rFonts w:ascii="Arial" w:hAnsi="Arial" w:cs="Arial"/>
          <w:b w:val="0"/>
          <w:sz w:val="21"/>
          <w:rtl/>
        </w:rPr>
        <w:t>اعتمد مجلس إدارة جمعية البلسم للتدريب والتطوير الصحي هذه السياسة للعمل بموجبها، وتلغى من تاريخ نفاذها الأحكام السابقة التي تتعارض معها في نطاق المشتريات.</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835"/>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البيان</w:t>
            </w:r>
          </w:p>
        </w:tc>
        <w:tc>
          <w:tcPr>
            <w:tcW w:type="dxa" w:w="6520"/>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البيانات</w:t>
            </w:r>
          </w:p>
        </w:tc>
      </w:tr>
      <w:tr>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اسم الوثيقة</w:t>
            </w:r>
          </w:p>
        </w:tc>
        <w:tc>
          <w:tcPr>
            <w:tcW w:type="dxa" w:w="65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سياسة وإجراءات المشتريات</w:t>
            </w:r>
          </w:p>
        </w:tc>
      </w:tr>
      <w:tr>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مالك الوثيقة</w:t>
            </w:r>
          </w:p>
        </w:tc>
        <w:tc>
          <w:tcPr>
            <w:tcW w:type="dxa" w:w="65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مجلس الإدارة</w:t>
            </w:r>
          </w:p>
        </w:tc>
      </w:tr>
      <w:tr>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جهة التنفيذ</w:t>
            </w:r>
          </w:p>
        </w:tc>
        <w:tc>
          <w:tcPr>
            <w:tcW w:type="dxa" w:w="65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المدير التنفيذي وإدارة الخدمات المساندة ووحدة المشتريات والعقود والوحدة المالية والوحدات المستفيدة</w:t>
            </w:r>
          </w:p>
        </w:tc>
      </w:tr>
      <w:tr>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رقم قرار مجلس الإدارة</w:t>
            </w:r>
          </w:p>
        </w:tc>
        <w:tc>
          <w:tcPr>
            <w:tcW w:type="dxa" w:w="65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w:t>
            </w:r>
          </w:p>
        </w:tc>
      </w:tr>
      <w:tr>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تاريخ القرار</w:t>
            </w:r>
          </w:p>
        </w:tc>
        <w:tc>
          <w:tcPr>
            <w:tcW w:type="dxa" w:w="65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 / ........ / ........ هـ   الموافق   ........ / ........ / ........ م</w:t>
            </w:r>
          </w:p>
        </w:tc>
      </w:tr>
      <w:tr>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رقم الإصدار</w:t>
            </w:r>
          </w:p>
        </w:tc>
        <w:tc>
          <w:tcPr>
            <w:tcW w:type="dxa" w:w="65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w:t>
            </w:r>
          </w:p>
        </w:tc>
      </w:tr>
      <w:tr>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تاريخ النفاذ</w:t>
            </w:r>
          </w:p>
        </w:tc>
        <w:tc>
          <w:tcPr>
            <w:tcW w:type="dxa" w:w="65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 / ........ / ........ م</w:t>
            </w:r>
          </w:p>
        </w:tc>
      </w:tr>
      <w:tr>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دورية المراجعة</w:t>
            </w:r>
          </w:p>
        </w:tc>
        <w:tc>
          <w:tcPr>
            <w:tcW w:type="dxa" w:w="65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سنويًا أو عند تغير الأنظمة أو الهيكل أو مصفوفة الصلاحيات</w:t>
            </w:r>
          </w:p>
        </w:tc>
      </w:tr>
    </w:tbl>
    <w:p>
      <w:pPr>
        <w:spacing w:after="20"/>
      </w:pPr>
    </w:p>
    <w:p>
      <w:pPr>
        <w:spacing w:before="240" w:after="120" w:line="283" w:lineRule="auto"/>
        <w:jc w:val="right"/>
        <w:keepNext w:val="0"/>
        <w:bidi/>
      </w:pPr>
      <w:r>
        <w:rPr>
          <w:rFonts w:ascii="Arial" w:hAnsi="Arial" w:cs="Arial"/>
          <w:b/>
          <w:color w:val="2F7D59"/>
          <w:sz w:val="24"/>
          <w:rtl/>
        </w:rPr>
        <w:t>التوقيع والاعتماد</w:t>
      </w:r>
    </w:p>
    <w:tbl>
      <w:tblPr>
        <w:tblStyle w:val="TableGrid"/>
        <w:tblW w:type="auto" w:w="0"/>
        <w:jc w:val="center"/>
        <w:tblLayout w:type="fixed"/>
        <w:tblLook w:firstColumn="1" w:firstRow="1" w:lastColumn="0" w:lastRow="0" w:noHBand="0" w:noVBand="1" w:val="04A0"/>
        <w:bidiVisual/>
      </w:tblPr>
      <w:tblGrid>
        <w:gridCol w:w="2494"/>
        <w:gridCol w:w="2494"/>
        <w:gridCol w:w="2494"/>
        <w:gridCol w:w="2494"/>
      </w:tblGrid>
      <w:tr>
        <w:tc>
          <w:tcPr>
            <w:tcW w:type="dxa" w:w="243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الصفة</w:t>
            </w:r>
          </w:p>
        </w:tc>
        <w:tc>
          <w:tcPr>
            <w:tcW w:type="dxa" w:w="243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الاسم</w:t>
            </w:r>
          </w:p>
        </w:tc>
        <w:tc>
          <w:tcPr>
            <w:tcW w:type="dxa" w:w="243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التوقيع</w:t>
            </w:r>
          </w:p>
        </w:tc>
        <w:tc>
          <w:tcPr>
            <w:tcW w:type="dxa" w:w="204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الختم</w:t>
            </w:r>
          </w:p>
        </w:tc>
      </w:tr>
      <w:tr>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رئيس مجلس الإدارة</w:t>
            </w:r>
          </w:p>
        </w:tc>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r>
          </w:p>
        </w:tc>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r>
          </w:p>
        </w:tc>
        <w:tc>
          <w:tcPr>
            <w:tcW w:type="dxa" w:w="2041"/>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r>
          </w:p>
        </w:tc>
      </w:tr>
    </w:tbl>
    <w:p>
      <w:pPr>
        <w:spacing w:after="20"/>
      </w:pPr>
    </w:p>
    <w:p>
      <w:r>
        <w:br w:type="page"/>
      </w:r>
    </w:p>
    <w:p>
      <w:pPr>
        <w:spacing w:before="200" w:after="100" w:line="283" w:lineRule="auto"/>
        <w:jc w:val="right"/>
        <w:keepNext/>
        <w:bidi/>
      </w:pPr>
      <w:r>
        <w:rPr>
          <w:rFonts w:ascii="Arial" w:hAnsi="Arial" w:cs="Arial"/>
          <w:b/>
          <w:color w:val="084C61"/>
          <w:sz w:val="30"/>
          <w:rtl/>
        </w:rPr>
        <w:t>ضبط الوثيقة</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55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العنصر</w:t>
            </w:r>
          </w:p>
        </w:tc>
        <w:tc>
          <w:tcPr>
            <w:tcW w:type="dxa" w:w="6803"/>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البيان</w:t>
            </w:r>
          </w:p>
        </w:tc>
      </w:tr>
      <w:tr>
        <w:tc>
          <w:tcPr>
            <w:tcW w:type="dxa" w:w="2551"/>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نطاق التطبيق</w:t>
            </w:r>
          </w:p>
        </w:tc>
        <w:tc>
          <w:tcPr>
            <w:tcW w:type="dxa" w:w="6803"/>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جميع مشتريات المواد والخدمات والأجهزة والأصول والعقود والمستلزمات التشغيلية</w:t>
            </w:r>
          </w:p>
        </w:tc>
      </w:tr>
      <w:tr>
        <w:tc>
          <w:tcPr>
            <w:tcW w:type="dxa" w:w="255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الوثائق المكملة</w:t>
            </w:r>
          </w:p>
        </w:tc>
        <w:tc>
          <w:tcPr>
            <w:tcW w:type="dxa" w:w="680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السياسة المالية، مصفوفة الصلاحيات، الميزانية المعتمدة، سياسة تعارض المصالح، وسياسة حفظ السجلات</w:t>
            </w:r>
          </w:p>
        </w:tc>
      </w:tr>
      <w:tr>
        <w:tc>
          <w:tcPr>
            <w:tcW w:type="dxa" w:w="2551"/>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درجة الإتاحة</w:t>
            </w:r>
          </w:p>
        </w:tc>
        <w:tc>
          <w:tcPr>
            <w:tcW w:type="dxa" w:w="6803"/>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وثيقة داخلية؛ يجوز نشر المبادئ العامة دون السقوف والتفويضات والتفاصيل التشغيلية</w:t>
            </w:r>
          </w:p>
        </w:tc>
      </w:tr>
      <w:tr>
        <w:tc>
          <w:tcPr>
            <w:tcW w:type="dxa" w:w="255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السقوف المالية</w:t>
            </w:r>
          </w:p>
        </w:tc>
        <w:tc>
          <w:tcPr>
            <w:tcW w:type="dxa" w:w="680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وفق ملحق السقوف المالية المعتمد ضمن مصفوفة الصلاحيات وقرار مجلس الإدارة النافذ</w:t>
            </w:r>
          </w:p>
        </w:tc>
      </w:tr>
    </w:tbl>
    <w:p>
      <w:pPr>
        <w:spacing w:after="20"/>
      </w:pPr>
    </w:p>
    <w:p>
      <w:pPr>
        <w:spacing w:before="200" w:after="100" w:line="283" w:lineRule="auto"/>
        <w:jc w:val="right"/>
        <w:keepNext/>
        <w:bidi/>
      </w:pPr>
      <w:r>
        <w:rPr>
          <w:rFonts w:ascii="Arial" w:hAnsi="Arial" w:cs="Arial"/>
          <w:b/>
          <w:color w:val="084C61"/>
          <w:sz w:val="30"/>
          <w:rtl/>
        </w:rPr>
        <w:t>فهرس المحتويات</w:t>
      </w:r>
    </w:p>
    <w:tbl>
      <w:tblPr>
        <w:tblStyle w:val="TableGrid"/>
        <w:tblW w:type="auto" w:w="0"/>
        <w:jc w:val="center"/>
        <w:tblLayout w:type="fixed"/>
        <w:tblLook w:firstColumn="1" w:firstRow="1" w:lastColumn="0" w:lastRow="0" w:noHBand="0" w:noVBand="1" w:val="04A0"/>
        <w:bidiVisual/>
      </w:tblPr>
      <w:tblGrid>
        <w:gridCol w:w="2494"/>
        <w:gridCol w:w="2494"/>
        <w:gridCol w:w="2494"/>
        <w:gridCol w:w="2494"/>
      </w:tblGrid>
      <w:tr>
        <w:tc>
          <w:tcPr>
            <w:tcW w:type="dxa" w:w="680"/>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م</w:t>
            </w:r>
          </w:p>
        </w:tc>
        <w:tc>
          <w:tcPr>
            <w:tcW w:type="dxa" w:w="3997"/>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الموضوع</w:t>
            </w:r>
          </w:p>
        </w:tc>
        <w:tc>
          <w:tcPr>
            <w:tcW w:type="dxa" w:w="680"/>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م</w:t>
            </w:r>
          </w:p>
        </w:tc>
        <w:tc>
          <w:tcPr>
            <w:tcW w:type="dxa" w:w="3997"/>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الموضوع</w:t>
            </w:r>
          </w:p>
        </w:tc>
      </w:tr>
      <w:tr>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1</w:t>
            </w:r>
          </w:p>
        </w:tc>
        <w:tc>
          <w:tcPr>
            <w:tcW w:type="dxa" w:w="399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الأحكام العامة والمرجعيات</w:t>
            </w:r>
          </w:p>
        </w:tc>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7</w:t>
            </w:r>
          </w:p>
        </w:tc>
        <w:tc>
          <w:tcPr>
            <w:tcW w:type="dxa" w:w="399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أوامر الشراء والعقود</w:t>
            </w:r>
          </w:p>
        </w:tc>
      </w:tr>
      <w:tr>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2</w:t>
            </w:r>
          </w:p>
        </w:tc>
        <w:tc>
          <w:tcPr>
            <w:tcW w:type="dxa" w:w="399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الحوكمة والمسؤوليات</w:t>
            </w:r>
          </w:p>
        </w:tc>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8</w:t>
            </w:r>
          </w:p>
        </w:tc>
        <w:tc>
          <w:tcPr>
            <w:tcW w:type="dxa" w:w="399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الاستلام والفحص والأجهزة الطبية</w:t>
            </w:r>
          </w:p>
        </w:tc>
      </w:tr>
      <w:tr>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3</w:t>
            </w:r>
          </w:p>
        </w:tc>
        <w:tc>
          <w:tcPr>
            <w:tcW w:type="dxa" w:w="399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التخطيط وطلب الشراء</w:t>
            </w:r>
          </w:p>
        </w:tc>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9</w:t>
            </w:r>
          </w:p>
        </w:tc>
        <w:tc>
          <w:tcPr>
            <w:tcW w:type="dxa" w:w="399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الفواتير والصرف</w:t>
            </w:r>
          </w:p>
        </w:tc>
      </w:tr>
      <w:tr>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4</w:t>
            </w:r>
          </w:p>
        </w:tc>
        <w:tc>
          <w:tcPr>
            <w:tcW w:type="dxa" w:w="399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طرق الشراء والسقوف</w:t>
            </w:r>
          </w:p>
        </w:tc>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10</w:t>
            </w:r>
          </w:p>
        </w:tc>
        <w:tc>
          <w:tcPr>
            <w:tcW w:type="dxa" w:w="399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الأصول والجرد</w:t>
            </w:r>
          </w:p>
        </w:tc>
      </w:tr>
      <w:tr>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5</w:t>
            </w:r>
          </w:p>
        </w:tc>
        <w:tc>
          <w:tcPr>
            <w:tcW w:type="dxa" w:w="399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الموردون وتعارض المصالح</w:t>
            </w:r>
          </w:p>
        </w:tc>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11</w:t>
            </w:r>
          </w:p>
        </w:tc>
        <w:tc>
          <w:tcPr>
            <w:tcW w:type="dxa" w:w="399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الاستثناءات والحالات العاجلة</w:t>
            </w:r>
          </w:p>
        </w:tc>
      </w:tr>
      <w:tr>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6</w:t>
            </w:r>
          </w:p>
        </w:tc>
        <w:tc>
          <w:tcPr>
            <w:tcW w:type="dxa" w:w="399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العروض والتقييم والترسية</w:t>
            </w:r>
          </w:p>
        </w:tc>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12</w:t>
            </w:r>
          </w:p>
        </w:tc>
        <w:tc>
          <w:tcPr>
            <w:tcW w:type="dxa" w:w="399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السجلات والرقابة والمراجعة</w:t>
            </w:r>
          </w:p>
        </w:tc>
      </w:tr>
    </w:tbl>
    <w:p>
      <w:pPr>
        <w:spacing w:after="20"/>
      </w:pPr>
    </w:p>
    <w:p>
      <w:r>
        <w:br w:type="page"/>
      </w:r>
    </w:p>
    <w:p>
      <w:pPr>
        <w:spacing w:before="200" w:after="100" w:line="283" w:lineRule="auto"/>
        <w:jc w:val="right"/>
        <w:keepNext/>
        <w:bidi/>
      </w:pPr>
      <w:r>
        <w:rPr>
          <w:rFonts w:ascii="Arial" w:hAnsi="Arial" w:cs="Arial"/>
          <w:b/>
          <w:color w:val="084C61"/>
          <w:sz w:val="30"/>
          <w:rtl/>
        </w:rPr>
        <w:t>1. الأحكام العامة والمرجعيات</w:t>
      </w:r>
    </w:p>
    <w:p>
      <w:pPr>
        <w:spacing w:before="140" w:after="100" w:line="283" w:lineRule="auto"/>
        <w:jc w:val="right"/>
        <w:keepNext/>
        <w:bidi/>
      </w:pPr>
      <w:r>
        <w:rPr>
          <w:rFonts w:ascii="Arial" w:hAnsi="Arial" w:cs="Arial"/>
          <w:b/>
          <w:color w:val="2F7D59"/>
          <w:sz w:val="25"/>
          <w:rtl/>
        </w:rPr>
        <w:t>1.1 الهدف</w:t>
      </w:r>
    </w:p>
    <w:p>
      <w:pPr>
        <w:spacing w:before="0" w:after="100" w:line="283" w:lineRule="auto"/>
        <w:jc w:val="right"/>
        <w:keepNext w:val="0"/>
        <w:bidi/>
      </w:pPr>
      <w:r>
        <w:rPr>
          <w:rFonts w:ascii="Arial" w:hAnsi="Arial" w:cs="Arial"/>
          <w:b w:val="0"/>
          <w:sz w:val="21"/>
          <w:rtl/>
        </w:rPr>
        <w:t>تنظيم دورة المشتريات بما يحقق الحاجة الفعلية، والقيمة مقابل المال، والمنافسة العادلة، وترشيد الإنفاق، وسلامة الالتزام والصرف، وقابلية كل خطوة للتتبع والمراجعة.</w:t>
      </w:r>
    </w:p>
    <w:p>
      <w:pPr>
        <w:spacing w:before="140" w:after="100" w:line="283" w:lineRule="auto"/>
        <w:jc w:val="right"/>
        <w:keepNext/>
        <w:bidi/>
      </w:pPr>
      <w:r>
        <w:rPr>
          <w:rFonts w:ascii="Arial" w:hAnsi="Arial" w:cs="Arial"/>
          <w:b/>
          <w:color w:val="2F7D59"/>
          <w:sz w:val="25"/>
          <w:rtl/>
        </w:rPr>
        <w:t>1.2 نطاق التطبيق</w:t>
      </w:r>
    </w:p>
    <w:p>
      <w:pPr>
        <w:spacing w:before="0" w:after="100" w:line="283" w:lineRule="auto"/>
        <w:jc w:val="right"/>
        <w:keepNext w:val="0"/>
        <w:bidi/>
      </w:pPr>
      <w:r>
        <w:rPr>
          <w:rFonts w:ascii="Arial" w:hAnsi="Arial" w:cs="Arial"/>
          <w:b w:val="0"/>
          <w:sz w:val="21"/>
          <w:rtl/>
        </w:rPr>
        <w:t>تطبق هذه السياسة على جميع الوحدات والعاملين والمكلفين، وعلى شراء المواد والخدمات والأجهزة والأصول والعقود والمستلزمات التشغيلية، سواء مولت من موارد عامة أو مقيدة أو منحة أو مشروع.</w:t>
      </w:r>
    </w:p>
    <w:p>
      <w:pPr>
        <w:spacing w:before="140" w:after="100" w:line="283" w:lineRule="auto"/>
        <w:jc w:val="right"/>
        <w:keepNext/>
        <w:bidi/>
      </w:pPr>
      <w:r>
        <w:rPr>
          <w:rFonts w:ascii="Arial" w:hAnsi="Arial" w:cs="Arial"/>
          <w:b/>
          <w:color w:val="2F7D59"/>
          <w:sz w:val="25"/>
          <w:rtl/>
        </w:rPr>
        <w:t>1.3 المرجعيات</w:t>
      </w:r>
    </w:p>
    <w:p>
      <w:pPr>
        <w:pStyle w:val="ListBullet"/>
        <w:spacing w:after="60" w:line="276" w:lineRule="auto"/>
        <w:ind w:right="312" w:left="0"/>
        <w:jc w:val="right"/>
        <w:bidi/>
      </w:pPr>
      <w:r>
        <w:rPr>
          <w:rFonts w:ascii="Arial" w:hAnsi="Arial" w:cs="Arial"/>
          <w:b w:val="0"/>
          <w:sz w:val="20"/>
          <w:rtl/>
        </w:rPr>
        <w:t>نظام الجمعيات والمؤسسات الأهلية ولائحته التنفيذية والقرارات والتعليمات النافذة.</w:t>
      </w:r>
    </w:p>
    <w:p>
      <w:pPr>
        <w:pStyle w:val="ListBullet"/>
        <w:spacing w:after="60" w:line="276" w:lineRule="auto"/>
        <w:ind w:right="312" w:left="0"/>
        <w:jc w:val="right"/>
        <w:bidi/>
      </w:pPr>
      <w:r>
        <w:rPr>
          <w:rFonts w:ascii="Arial" w:hAnsi="Arial" w:cs="Arial"/>
          <w:b w:val="0"/>
          <w:sz w:val="20"/>
          <w:rtl/>
        </w:rPr>
        <w:t>اللائحة الأساسية للجمعية والسياسة المالية ومصفوفة الصلاحيات والميزانية المعتمدة.</w:t>
      </w:r>
    </w:p>
    <w:p>
      <w:pPr>
        <w:pStyle w:val="ListBullet"/>
        <w:spacing w:after="60" w:line="276" w:lineRule="auto"/>
        <w:ind w:right="312" w:left="0"/>
        <w:jc w:val="right"/>
        <w:bidi/>
      </w:pPr>
      <w:r>
        <w:rPr>
          <w:rFonts w:ascii="Arial" w:hAnsi="Arial" w:cs="Arial"/>
          <w:b w:val="0"/>
          <w:sz w:val="20"/>
          <w:rtl/>
        </w:rPr>
        <w:t>سياسات تعارض المصالح وحفظ السجلات وحماية البيانات والملكية الفكرية عند الانطباق.</w:t>
      </w:r>
    </w:p>
    <w:p>
      <w:pPr>
        <w:pStyle w:val="ListBullet"/>
        <w:spacing w:after="60" w:line="276" w:lineRule="auto"/>
        <w:ind w:right="312" w:left="0"/>
        <w:jc w:val="right"/>
        <w:bidi/>
      </w:pPr>
      <w:r>
        <w:rPr>
          <w:rFonts w:ascii="Arial" w:hAnsi="Arial" w:cs="Arial"/>
          <w:b w:val="0"/>
          <w:sz w:val="20"/>
          <w:rtl/>
        </w:rPr>
        <w:t>اشتراطات الجهات المانحة أو المشروعات، بشرط ألا تخالف المتطلبات النظامية الأعلى.</w:t>
      </w:r>
    </w:p>
    <w:p>
      <w:pPr>
        <w:spacing w:before="140" w:after="100" w:line="283" w:lineRule="auto"/>
        <w:jc w:val="right"/>
        <w:keepNext/>
        <w:bidi/>
      </w:pPr>
      <w:r>
        <w:rPr>
          <w:rFonts w:ascii="Arial" w:hAnsi="Arial" w:cs="Arial"/>
          <w:b/>
          <w:color w:val="2F7D59"/>
          <w:sz w:val="25"/>
          <w:rtl/>
        </w:rPr>
        <w:t>1.4 المبادئ الحاكمة</w:t>
      </w:r>
    </w:p>
    <w:p>
      <w:pPr>
        <w:pStyle w:val="ListBullet"/>
        <w:spacing w:after="60" w:line="276" w:lineRule="auto"/>
        <w:ind w:right="312" w:left="0"/>
        <w:jc w:val="right"/>
        <w:bidi/>
      </w:pPr>
      <w:r>
        <w:rPr>
          <w:rFonts w:ascii="Arial" w:hAnsi="Arial" w:cs="Arial"/>
          <w:b w:val="0"/>
          <w:sz w:val="20"/>
          <w:rtl/>
        </w:rPr>
        <w:t>المشروعية والارتباط بأهداف الجمعية والميزانية المعتمدة.</w:t>
      </w:r>
    </w:p>
    <w:p>
      <w:pPr>
        <w:pStyle w:val="ListBullet"/>
        <w:spacing w:after="60" w:line="276" w:lineRule="auto"/>
        <w:ind w:right="312" w:left="0"/>
        <w:jc w:val="right"/>
        <w:bidi/>
      </w:pPr>
      <w:r>
        <w:rPr>
          <w:rFonts w:ascii="Arial" w:hAnsi="Arial" w:cs="Arial"/>
          <w:b w:val="0"/>
          <w:sz w:val="20"/>
          <w:rtl/>
        </w:rPr>
        <w:t>الفصل بين طلب الشراء والتقييم والاعتماد والاستلام والتسجيل والصرف قدر الإمكان.</w:t>
      </w:r>
    </w:p>
    <w:p>
      <w:pPr>
        <w:pStyle w:val="ListBullet"/>
        <w:spacing w:after="60" w:line="276" w:lineRule="auto"/>
        <w:ind w:right="312" w:left="0"/>
        <w:jc w:val="right"/>
        <w:bidi/>
      </w:pPr>
      <w:r>
        <w:rPr>
          <w:rFonts w:ascii="Arial" w:hAnsi="Arial" w:cs="Arial"/>
          <w:b w:val="0"/>
          <w:sz w:val="20"/>
          <w:rtl/>
        </w:rPr>
        <w:t>المنافسة والعدالة والشفافية وعدم تفضيل مورد دون أساس موثق.</w:t>
      </w:r>
    </w:p>
    <w:p>
      <w:pPr>
        <w:pStyle w:val="ListBullet"/>
        <w:spacing w:after="60" w:line="276" w:lineRule="auto"/>
        <w:ind w:right="312" w:left="0"/>
        <w:jc w:val="right"/>
        <w:bidi/>
      </w:pPr>
      <w:r>
        <w:rPr>
          <w:rFonts w:ascii="Arial" w:hAnsi="Arial" w:cs="Arial"/>
          <w:b w:val="0"/>
          <w:sz w:val="20"/>
          <w:rtl/>
        </w:rPr>
        <w:t>منع تجزئة الطلبات أو العقود بقصد خفض مستوى الصلاحية أو تغيير طريقة الشراء.</w:t>
      </w:r>
    </w:p>
    <w:p>
      <w:pPr>
        <w:pStyle w:val="ListBullet"/>
        <w:spacing w:after="60" w:line="276" w:lineRule="auto"/>
        <w:ind w:right="312" w:left="0"/>
        <w:jc w:val="right"/>
        <w:bidi/>
      </w:pPr>
      <w:r>
        <w:rPr>
          <w:rFonts w:ascii="Arial" w:hAnsi="Arial" w:cs="Arial"/>
          <w:b w:val="0"/>
          <w:sz w:val="20"/>
          <w:rtl/>
        </w:rPr>
        <w:t>إدارة تعارض المصالح وحماية سرية العروض والأسعار والبيانات.</w:t>
      </w:r>
    </w:p>
    <w:p>
      <w:pPr>
        <w:pStyle w:val="ListBullet"/>
        <w:spacing w:after="60" w:line="276" w:lineRule="auto"/>
        <w:ind w:right="312" w:left="0"/>
        <w:jc w:val="right"/>
        <w:bidi/>
      </w:pPr>
      <w:r>
        <w:rPr>
          <w:rFonts w:ascii="Arial" w:hAnsi="Arial" w:cs="Arial"/>
          <w:b w:val="0"/>
          <w:sz w:val="20"/>
          <w:rtl/>
        </w:rPr>
        <w:t>الاستدامة والجودة والسلامة والقيمة الكلية، وليس أقل سعر فقط.</w:t>
      </w:r>
    </w:p>
    <w:p>
      <w:pPr>
        <w:spacing w:before="200" w:after="100" w:line="283" w:lineRule="auto"/>
        <w:jc w:val="right"/>
        <w:keepNext/>
        <w:bidi/>
      </w:pPr>
      <w:r>
        <w:rPr>
          <w:rFonts w:ascii="Arial" w:hAnsi="Arial" w:cs="Arial"/>
          <w:b/>
          <w:color w:val="084C61"/>
          <w:sz w:val="30"/>
          <w:rtl/>
        </w:rPr>
        <w:t>2. الحوكمة والمسؤوليات</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494"/>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7"/>
                <w:rtl/>
              </w:rPr>
              <w:t>الجهة</w:t>
            </w:r>
          </w:p>
        </w:tc>
        <w:tc>
          <w:tcPr>
            <w:tcW w:type="dxa" w:w="6860"/>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7"/>
                <w:rtl/>
              </w:rPr>
              <w:t>المسؤوليات الرئيسة</w:t>
            </w:r>
          </w:p>
        </w:tc>
      </w:tr>
      <w:tr>
        <w:tc>
          <w:tcPr>
            <w:tcW w:type="dxa" w:w="2494"/>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مجلس الإدارة</w:t>
            </w:r>
          </w:p>
        </w:tc>
        <w:tc>
          <w:tcPr>
            <w:tcW w:type="dxa" w:w="6860"/>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اعتماد السياسة ومصفوفة الصلاحيات والسقوف، واعتماد ما حجز له نظامًا أو بالمصفوفة، والرقابة على الالتزام.</w:t>
            </w:r>
          </w:p>
        </w:tc>
      </w:tr>
      <w:tr>
        <w:tc>
          <w:tcPr>
            <w:tcW w:type="dxa" w:w="249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المدير التنفيذي</w:t>
            </w:r>
          </w:p>
        </w:tc>
        <w:tc>
          <w:tcPr>
            <w:tcW w:type="dxa" w:w="686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اعتماد المشتريات والتعاقدات ضمن السقف، وتوفير الموارد، ومعالجة الاستثناءات ورفع ما يتجاوز صلاحياته.</w:t>
            </w:r>
          </w:p>
        </w:tc>
      </w:tr>
      <w:tr>
        <w:tc>
          <w:tcPr>
            <w:tcW w:type="dxa" w:w="2494"/>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مدير إدارة الخدمات المساندة</w:t>
            </w:r>
          </w:p>
        </w:tc>
        <w:tc>
          <w:tcPr>
            <w:tcW w:type="dxa" w:w="6860"/>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مراجعة سلامة المسار والتنسيق بين المشتريات والمالية والدعم الإداري ومتابعة الأداء.</w:t>
            </w:r>
          </w:p>
        </w:tc>
      </w:tr>
      <w:tr>
        <w:tc>
          <w:tcPr>
            <w:tcW w:type="dxa" w:w="249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وحدة المشتريات والعقود</w:t>
            </w:r>
          </w:p>
        </w:tc>
        <w:tc>
          <w:tcPr>
            <w:tcW w:type="dxa" w:w="686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التخطيط والاستدراج والتواصل مع الموردين وتحليل العروض وإصدار الأوامر وحفظ ملف الشراء.</w:t>
            </w:r>
          </w:p>
        </w:tc>
      </w:tr>
      <w:tr>
        <w:tc>
          <w:tcPr>
            <w:tcW w:type="dxa" w:w="2494"/>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الوحدة المالية</w:t>
            </w:r>
          </w:p>
        </w:tc>
        <w:tc>
          <w:tcPr>
            <w:tcW w:type="dxa" w:w="6860"/>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التحقق من الاعتماد والارتباط المالي والضريبة والمستندات، وتنفيذ التسجيل والصرف بعد الاستحقاق.</w:t>
            </w:r>
          </w:p>
        </w:tc>
      </w:tr>
      <w:tr>
        <w:tc>
          <w:tcPr>
            <w:tcW w:type="dxa" w:w="249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الوحدة المستفيدة</w:t>
            </w:r>
          </w:p>
        </w:tc>
        <w:tc>
          <w:tcPr>
            <w:tcW w:type="dxa" w:w="686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تحديد الحاجة والمواصفات والكمية ومؤشرات القبول، والمشاركة الفنية والاستلام دون توجيه المنافسة لمورد بعينه.</w:t>
            </w:r>
          </w:p>
        </w:tc>
      </w:tr>
      <w:tr>
        <w:tc>
          <w:tcPr>
            <w:tcW w:type="dxa" w:w="2494"/>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لجان المشتريات والتقييم والاستلام والجرد</w:t>
            </w:r>
          </w:p>
        </w:tc>
        <w:tc>
          <w:tcPr>
            <w:tcW w:type="dxa" w:w="6860"/>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تنفيذ المهام وفق قرار التشكيل، والإفصاح عن التعارض، وتوثيق المحاضر والتوصيات، والالتزام بحدود الصلاحية المسندة لكل لجنة.</w:t>
            </w:r>
          </w:p>
        </w:tc>
      </w:tr>
    </w:tbl>
    <w:p>
      <w:pPr>
        <w:spacing w:after="20"/>
      </w:pPr>
    </w:p>
    <w:p>
      <w:r>
        <w:br w:type="page"/>
      </w:r>
    </w:p>
    <w:p>
      <w:pPr>
        <w:spacing w:before="200" w:after="100" w:line="283" w:lineRule="auto"/>
        <w:jc w:val="right"/>
        <w:keepNext/>
        <w:bidi/>
      </w:pPr>
      <w:r>
        <w:rPr>
          <w:rFonts w:ascii="Arial" w:hAnsi="Arial" w:cs="Arial"/>
          <w:b/>
          <w:color w:val="084C61"/>
          <w:sz w:val="30"/>
          <w:rtl/>
        </w:rPr>
        <w:t>3. التخطيط وطلب الشراء</w:t>
      </w:r>
    </w:p>
    <w:p>
      <w:pPr>
        <w:pStyle w:val="ListBullet"/>
        <w:spacing w:after="60" w:line="276" w:lineRule="auto"/>
        <w:ind w:right="312" w:left="0"/>
        <w:jc w:val="right"/>
        <w:bidi/>
      </w:pPr>
      <w:r>
        <w:rPr>
          <w:rFonts w:ascii="Arial" w:hAnsi="Arial" w:cs="Arial"/>
          <w:b w:val="0"/>
          <w:sz w:val="20"/>
          <w:rtl/>
        </w:rPr>
        <w:t>تعد وحدة المشتريات والعقود خطة سنوية مشتقة من الميزانية وخطط الوحدات، وتجمع الاحتياجات المتشابهة لتقليل التكلفة.</w:t>
      </w:r>
    </w:p>
    <w:p>
      <w:pPr>
        <w:pStyle w:val="ListBullet"/>
        <w:spacing w:after="60" w:line="276" w:lineRule="auto"/>
        <w:ind w:right="312" w:left="0"/>
        <w:jc w:val="right"/>
        <w:bidi/>
      </w:pPr>
      <w:r>
        <w:rPr>
          <w:rFonts w:ascii="Arial" w:hAnsi="Arial" w:cs="Arial"/>
          <w:b w:val="0"/>
          <w:sz w:val="20"/>
          <w:rtl/>
        </w:rPr>
        <w:t>يقدم طلب الشراء قبل الالتزام، ويبين الغرض والكمية والمواصفات ومركز التكلفة والموعد ومصدر التمويل والمرفقات.</w:t>
      </w:r>
    </w:p>
    <w:p>
      <w:pPr>
        <w:pStyle w:val="ListBullet"/>
        <w:spacing w:after="60" w:line="276" w:lineRule="auto"/>
        <w:ind w:right="312" w:left="0"/>
        <w:jc w:val="right"/>
        <w:bidi/>
      </w:pPr>
      <w:r>
        <w:rPr>
          <w:rFonts w:ascii="Arial" w:hAnsi="Arial" w:cs="Arial"/>
          <w:b w:val="0"/>
          <w:sz w:val="20"/>
          <w:rtl/>
        </w:rPr>
        <w:t>تراجع الوحدة المستفيدة الحاجة والمواصفات، وتتحقق الوحدة المالية من الاعتماد المتاح، ثم يوجه الطلب وفق السقف.</w:t>
      </w:r>
    </w:p>
    <w:p>
      <w:pPr>
        <w:pStyle w:val="ListBullet"/>
        <w:spacing w:after="60" w:line="276" w:lineRule="auto"/>
        <w:ind w:right="312" w:left="0"/>
        <w:jc w:val="right"/>
        <w:bidi/>
      </w:pPr>
      <w:r>
        <w:rPr>
          <w:rFonts w:ascii="Arial" w:hAnsi="Arial" w:cs="Arial"/>
          <w:b w:val="0"/>
          <w:sz w:val="20"/>
          <w:rtl/>
        </w:rPr>
        <w:t>يحظر على أي موظف التعهد أو الطلب من مورد أو قبول توريد قبل صدور أمر شراء أو عقد معتمد، إلا في حالة عاجلة موثقة وفق هذه السياسة.</w:t>
      </w:r>
    </w:p>
    <w:p>
      <w:pPr>
        <w:pStyle w:val="ListBullet"/>
        <w:spacing w:after="60" w:line="276" w:lineRule="auto"/>
        <w:ind w:right="312" w:left="0"/>
        <w:jc w:val="right"/>
        <w:bidi/>
      </w:pPr>
      <w:r>
        <w:rPr>
          <w:rFonts w:ascii="Arial" w:hAnsi="Arial" w:cs="Arial"/>
          <w:b w:val="0"/>
          <w:sz w:val="20"/>
          <w:rtl/>
        </w:rPr>
        <w:t>لا تصاغ المواصفات باسم علامة أو مورد بعينه إلا لضرورة فنية موثقة مع عبارة «أو ما يعادلها» متى أمكن.</w:t>
      </w:r>
    </w:p>
    <w:p>
      <w:pPr>
        <w:spacing w:before="200" w:after="100" w:line="283" w:lineRule="auto"/>
        <w:jc w:val="right"/>
        <w:keepNext/>
        <w:bidi/>
      </w:pPr>
      <w:r>
        <w:rPr>
          <w:rFonts w:ascii="Arial" w:hAnsi="Arial" w:cs="Arial"/>
          <w:b/>
          <w:color w:val="084C61"/>
          <w:sz w:val="30"/>
          <w:rtl/>
        </w:rPr>
        <w:t>4. طرق الشراء والسقوف</w:t>
      </w:r>
    </w:p>
    <w:p>
      <w:pPr>
        <w:spacing w:before="0" w:after="100" w:line="283" w:lineRule="auto"/>
        <w:jc w:val="right"/>
        <w:keepNext w:val="0"/>
        <w:bidi/>
      </w:pPr>
      <w:r>
        <w:rPr>
          <w:rFonts w:ascii="Arial" w:hAnsi="Arial" w:cs="Arial"/>
          <w:b w:val="0"/>
          <w:sz w:val="21"/>
          <w:rtl/>
        </w:rPr>
        <w:t>تحدد طريقة الشراء وصاحب الاعتماد بحسب القيمة الإجمالية المتوقعة طوال مدة العقد، شاملة التجديدات والضرائب والتكاليف التابعة، ووفق السقوف النافذة في مصفوفة الصلاحيات.</w:t>
      </w:r>
    </w:p>
    <w:tbl>
      <w:tblPr>
        <w:tblStyle w:val="TableGrid"/>
        <w:tblW w:type="auto" w:w="0"/>
        <w:jc w:val="center"/>
        <w:tblLayout w:type="fixed"/>
        <w:tblLook w:firstColumn="1" w:firstRow="1" w:lastColumn="0" w:lastRow="0" w:noHBand="0" w:noVBand="1" w:val="04A0"/>
        <w:bidiVisual/>
      </w:tblPr>
      <w:tblGrid>
        <w:gridCol w:w="3326"/>
        <w:gridCol w:w="3326"/>
        <w:gridCol w:w="3326"/>
      </w:tblGrid>
      <w:tr>
        <w:tc>
          <w:tcPr>
            <w:tcW w:type="dxa" w:w="209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الطريقة</w:t>
            </w:r>
          </w:p>
        </w:tc>
        <w:tc>
          <w:tcPr>
            <w:tcW w:type="dxa" w:w="345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متى تستخدم</w:t>
            </w:r>
          </w:p>
        </w:tc>
        <w:tc>
          <w:tcPr>
            <w:tcW w:type="dxa" w:w="379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الحد الأدنى للضبط</w:t>
            </w:r>
          </w:p>
        </w:tc>
      </w:tr>
      <w:tr>
        <w:tc>
          <w:tcPr>
            <w:tcW w:type="dxa" w:w="209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الشراء المباشر</w:t>
            </w:r>
          </w:p>
        </w:tc>
        <w:tc>
          <w:tcPr>
            <w:tcW w:type="dxa" w:w="345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ضمن السقف المعتمد للمشتريات المباشرة</w:t>
            </w:r>
          </w:p>
        </w:tc>
        <w:tc>
          <w:tcPr>
            <w:tcW w:type="dxa" w:w="379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تحقق من سعر السوق، مبرر الحاجة، مورد مؤهل، واعتماد قبل الالتزام.</w:t>
            </w:r>
          </w:p>
        </w:tc>
      </w:tr>
      <w:tr>
        <w:tc>
          <w:tcPr>
            <w:tcW w:type="dxa" w:w="209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طلب عروض/منافسة محدودة</w:t>
            </w:r>
          </w:p>
        </w:tc>
        <w:tc>
          <w:tcPr>
            <w:tcW w:type="dxa" w:w="345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ضمن العتبة المحددة في المصفوفة</w:t>
            </w:r>
          </w:p>
        </w:tc>
        <w:tc>
          <w:tcPr>
            <w:tcW w:type="dxa" w:w="379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دعوة عدد مناسب من الموردين؛ والأصل ثلاثة عروض متى أمكن، مع توثيق عدم التمكن.</w:t>
            </w:r>
          </w:p>
        </w:tc>
      </w:tr>
      <w:tr>
        <w:tc>
          <w:tcPr>
            <w:tcW w:type="dxa" w:w="209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منافسة موسعة</w:t>
            </w:r>
          </w:p>
        </w:tc>
        <w:tc>
          <w:tcPr>
            <w:tcW w:type="dxa" w:w="345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للتعاقدات الكبرى أو عالية الأثر أو المخاطر</w:t>
            </w:r>
          </w:p>
        </w:tc>
        <w:tc>
          <w:tcPr>
            <w:tcW w:type="dxa" w:w="379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نطاق واضح، مدة كافية، معايير معلنة، تقييم فني ومالي مستقل، واعتماد الترسية.</w:t>
            </w:r>
          </w:p>
        </w:tc>
      </w:tr>
      <w:tr>
        <w:tc>
          <w:tcPr>
            <w:tcW w:type="dxa" w:w="209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مصدر وحيد</w:t>
            </w:r>
          </w:p>
        </w:tc>
        <w:tc>
          <w:tcPr>
            <w:tcW w:type="dxa" w:w="345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عند انفراد مثبت أو توافق تقني أو حق حصري أو عدم وجود بديل عملي</w:t>
            </w:r>
          </w:p>
        </w:tc>
        <w:tc>
          <w:tcPr>
            <w:tcW w:type="dxa" w:w="379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بحث سوق ومبرر مكتوب وتحقق من عدالة السعر واعتماد أعلى وفق المصفوفة.</w:t>
            </w:r>
          </w:p>
        </w:tc>
      </w:tr>
      <w:tr>
        <w:tc>
          <w:tcPr>
            <w:tcW w:type="dxa" w:w="209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شراء عاجل</w:t>
            </w:r>
          </w:p>
        </w:tc>
        <w:tc>
          <w:tcPr>
            <w:tcW w:type="dxa" w:w="345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لمنع ضرر مباشر أو توقف جوهري لا يحتمل الإجراء المعتاد</w:t>
            </w:r>
          </w:p>
        </w:tc>
        <w:tc>
          <w:tcPr>
            <w:tcW w:type="dxa" w:w="379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حصره في الضرورة، اعتماد عاجل موثق، وتسوية الملف ومراجعته لاحقًا.</w:t>
            </w:r>
          </w:p>
        </w:tc>
      </w:tr>
    </w:tbl>
    <w:p>
      <w:pPr>
        <w:spacing w:after="20"/>
      </w:pPr>
    </w:p>
    <w:p>
      <w:pPr>
        <w:spacing w:before="200" w:after="100" w:line="283" w:lineRule="auto"/>
        <w:jc w:val="right"/>
        <w:keepNext/>
        <w:bidi/>
      </w:pPr>
      <w:r>
        <w:rPr>
          <w:rFonts w:ascii="Arial" w:hAnsi="Arial" w:cs="Arial"/>
          <w:b/>
          <w:color w:val="084C61"/>
          <w:sz w:val="30"/>
          <w:rtl/>
        </w:rPr>
        <w:t>5. الموردون وتعارض المصالح</w:t>
      </w:r>
    </w:p>
    <w:p>
      <w:pPr>
        <w:pStyle w:val="ListBullet"/>
        <w:spacing w:after="60" w:line="276" w:lineRule="auto"/>
        <w:ind w:right="312" w:left="0"/>
        <w:jc w:val="right"/>
        <w:bidi/>
      </w:pPr>
      <w:r>
        <w:rPr>
          <w:rFonts w:ascii="Arial" w:hAnsi="Arial" w:cs="Arial"/>
          <w:b w:val="0"/>
          <w:sz w:val="20"/>
          <w:rtl/>
        </w:rPr>
        <w:t>تنشئ وحدة المشتريات والعقود سجلًا للموردين يتضمن البيانات النظامية والبنكية والتخصص والتقييم والملاحظات الجوهرية.</w:t>
      </w:r>
    </w:p>
    <w:p>
      <w:pPr>
        <w:pStyle w:val="ListBullet"/>
        <w:spacing w:after="60" w:line="276" w:lineRule="auto"/>
        <w:ind w:right="312" w:left="0"/>
        <w:jc w:val="right"/>
        <w:bidi/>
      </w:pPr>
      <w:r>
        <w:rPr>
          <w:rFonts w:ascii="Arial" w:hAnsi="Arial" w:cs="Arial"/>
          <w:b w:val="0"/>
          <w:sz w:val="20"/>
          <w:rtl/>
        </w:rPr>
        <w:t>يتحقق من أهلية المورد وسريان وثائقه وقدرته الفنية والمالية والالتزامية بحسب طبيعة وقيمة الشراء.</w:t>
      </w:r>
    </w:p>
    <w:p>
      <w:pPr>
        <w:pStyle w:val="ListBullet"/>
        <w:spacing w:after="60" w:line="276" w:lineRule="auto"/>
        <w:ind w:right="312" w:left="0"/>
        <w:jc w:val="right"/>
        <w:bidi/>
      </w:pPr>
      <w:r>
        <w:rPr>
          <w:rFonts w:ascii="Arial" w:hAnsi="Arial" w:cs="Arial"/>
          <w:b w:val="0"/>
          <w:sz w:val="20"/>
          <w:rtl/>
        </w:rPr>
        <w:t>يفصح كل مشارك في الطلب أو التقييم أو الاعتماد أو الاستلام عن أي مصلحة مباشرة أو غير مباشرة، ويستبعد من المسار عند وجود تعارض غير قابل للمعالجة.</w:t>
      </w:r>
    </w:p>
    <w:p>
      <w:pPr>
        <w:pStyle w:val="ListBullet"/>
        <w:spacing w:after="60" w:line="276" w:lineRule="auto"/>
        <w:ind w:right="312" w:left="0"/>
        <w:jc w:val="right"/>
        <w:bidi/>
      </w:pPr>
      <w:r>
        <w:rPr>
          <w:rFonts w:ascii="Arial" w:hAnsi="Arial" w:cs="Arial"/>
          <w:b w:val="0"/>
          <w:sz w:val="20"/>
          <w:rtl/>
        </w:rPr>
        <w:t>يحظر قبول الهدايا أو العمولات أو المنافع أو مشاركة معلومات سرية أو تمكين مورد من إعداد مواصفات تمنحه أفضلية غير عادلة.</w:t>
      </w:r>
    </w:p>
    <w:p>
      <w:pPr>
        <w:pStyle w:val="ListBullet"/>
        <w:spacing w:after="60" w:line="276" w:lineRule="auto"/>
        <w:ind w:right="312" w:left="0"/>
        <w:jc w:val="right"/>
        <w:bidi/>
      </w:pPr>
      <w:r>
        <w:rPr>
          <w:rFonts w:ascii="Arial" w:hAnsi="Arial" w:cs="Arial"/>
          <w:b w:val="0"/>
          <w:sz w:val="20"/>
          <w:rtl/>
        </w:rPr>
        <w:t>يقيم المورد دوريًا على الجودة والالتزام والوقت وخدمة ما بعد البيع والسلامة والتعاون، وتتخذ إجراءات التحسين أو التعليق أو الاستبعاد بقرار مسبب.</w:t>
      </w:r>
    </w:p>
    <w:p>
      <w:r>
        <w:br w:type="page"/>
      </w:r>
    </w:p>
    <w:p>
      <w:pPr>
        <w:spacing w:before="200" w:after="100" w:line="283" w:lineRule="auto"/>
        <w:jc w:val="right"/>
        <w:keepNext/>
        <w:bidi/>
      </w:pPr>
      <w:r>
        <w:rPr>
          <w:rFonts w:ascii="Arial" w:hAnsi="Arial" w:cs="Arial"/>
          <w:b/>
          <w:color w:val="084C61"/>
          <w:sz w:val="30"/>
          <w:rtl/>
        </w:rPr>
        <w:t>6. العروض والتقييم والترسية</w:t>
      </w:r>
    </w:p>
    <w:p>
      <w:pPr>
        <w:pStyle w:val="ListBullet"/>
        <w:spacing w:after="60" w:line="276" w:lineRule="auto"/>
        <w:ind w:right="312" w:left="0"/>
        <w:jc w:val="right"/>
        <w:bidi/>
      </w:pPr>
      <w:r>
        <w:rPr>
          <w:rFonts w:ascii="Arial" w:hAnsi="Arial" w:cs="Arial"/>
          <w:b w:val="0"/>
          <w:sz w:val="20"/>
          <w:rtl/>
        </w:rPr>
        <w:t>تحدد وثائق الطلب نطاق العمل والمواصفات والكميات والجدول والشروط ومعايير التقييم ومدة صلاحية العرض.</w:t>
      </w:r>
    </w:p>
    <w:p>
      <w:pPr>
        <w:pStyle w:val="ListBullet"/>
        <w:spacing w:after="60" w:line="276" w:lineRule="auto"/>
        <w:ind w:right="312" w:left="0"/>
        <w:jc w:val="right"/>
        <w:bidi/>
      </w:pPr>
      <w:r>
        <w:rPr>
          <w:rFonts w:ascii="Arial" w:hAnsi="Arial" w:cs="Arial"/>
          <w:b w:val="0"/>
          <w:sz w:val="20"/>
          <w:rtl/>
        </w:rPr>
        <w:t>تستقبل العروض عبر القنوات المحددة وتحفظ بسرية، ولا تعدل بعد الإقفال إلا بإجراء موثق يطبق بعدالة على الجميع.</w:t>
      </w:r>
    </w:p>
    <w:p>
      <w:pPr>
        <w:pStyle w:val="ListBullet"/>
        <w:spacing w:after="60" w:line="276" w:lineRule="auto"/>
        <w:ind w:right="312" w:left="0"/>
        <w:jc w:val="right"/>
        <w:bidi/>
      </w:pPr>
      <w:r>
        <w:rPr>
          <w:rFonts w:ascii="Arial" w:hAnsi="Arial" w:cs="Arial"/>
          <w:b w:val="0"/>
          <w:sz w:val="20"/>
          <w:rtl/>
        </w:rPr>
        <w:t>يفصل التقييم الفني عن المالي عند الحاجة، وتستخدم درجات وأوزان معلنة أو مبررة قبل فتح العروض.</w:t>
      </w:r>
    </w:p>
    <w:p>
      <w:pPr>
        <w:pStyle w:val="ListBullet"/>
        <w:spacing w:after="60" w:line="276" w:lineRule="auto"/>
        <w:ind w:right="312" w:left="0"/>
        <w:jc w:val="right"/>
        <w:bidi/>
      </w:pPr>
      <w:r>
        <w:rPr>
          <w:rFonts w:ascii="Arial" w:hAnsi="Arial" w:cs="Arial"/>
          <w:b w:val="0"/>
          <w:sz w:val="20"/>
          <w:rtl/>
        </w:rPr>
        <w:t>يجوز تشكيل لجنة فتح وتقييم عروض بقرار من صاحب الصلاحية، يحدد رئيسها وأعضاءها ومهمتها ومدتها، وتتولى توثيق الفتح والتقييم والتوصية دون أن تحل توصيتها محل اعتماد صاحب الصلاحية.</w:t>
      </w:r>
    </w:p>
    <w:p>
      <w:pPr>
        <w:pStyle w:val="ListBullet"/>
        <w:spacing w:after="60" w:line="276" w:lineRule="auto"/>
        <w:ind w:right="312" w:left="0"/>
        <w:jc w:val="right"/>
        <w:bidi/>
      </w:pPr>
      <w:r>
        <w:rPr>
          <w:rFonts w:ascii="Arial" w:hAnsi="Arial" w:cs="Arial"/>
          <w:b w:val="0"/>
          <w:sz w:val="20"/>
          <w:rtl/>
        </w:rPr>
        <w:t>لا تكون الترسية على الأقل سعرًا تلقائيًا؛ يعتمد العرض الأفضل قيمةً والأكثر مطابقةً مع توثيق أسباب الاختيار.</w:t>
      </w:r>
    </w:p>
    <w:p>
      <w:pPr>
        <w:pStyle w:val="ListBullet"/>
        <w:spacing w:after="60" w:line="276" w:lineRule="auto"/>
        <w:ind w:right="312" w:left="0"/>
        <w:jc w:val="right"/>
        <w:bidi/>
      </w:pPr>
      <w:r>
        <w:rPr>
          <w:rFonts w:ascii="Arial" w:hAnsi="Arial" w:cs="Arial"/>
          <w:b w:val="0"/>
          <w:sz w:val="20"/>
          <w:rtl/>
        </w:rPr>
        <w:t>لا يجوز التفاوض بما يخل بالمنافسة، ويثبت أي تفاوض أو استيضاح في محضر ويراعى فيه تكافؤ الفرص.</w:t>
      </w:r>
    </w:p>
    <w:p>
      <w:pPr>
        <w:pStyle w:val="ListBullet"/>
        <w:spacing w:after="60" w:line="276" w:lineRule="auto"/>
        <w:ind w:right="312" w:left="0"/>
        <w:jc w:val="right"/>
        <w:bidi/>
      </w:pPr>
      <w:r>
        <w:rPr>
          <w:rFonts w:ascii="Arial" w:hAnsi="Arial" w:cs="Arial"/>
          <w:b w:val="0"/>
          <w:sz w:val="20"/>
          <w:rtl/>
        </w:rPr>
        <w:t>يعتمد قرار الترسية من صاحب الصلاحية قبل إخطار المورد أو إصدار الأمر أو العقد.</w:t>
      </w:r>
    </w:p>
    <w:p>
      <w:pPr>
        <w:spacing w:before="200" w:after="100" w:line="283" w:lineRule="auto"/>
        <w:jc w:val="right"/>
        <w:keepNext/>
        <w:bidi/>
      </w:pPr>
      <w:r>
        <w:rPr>
          <w:rFonts w:ascii="Arial" w:hAnsi="Arial" w:cs="Arial"/>
          <w:b/>
          <w:color w:val="084C61"/>
          <w:sz w:val="30"/>
          <w:rtl/>
        </w:rPr>
        <w:t>7. أوامر الشراء والعقود</w:t>
      </w:r>
    </w:p>
    <w:p>
      <w:pPr>
        <w:pStyle w:val="ListBullet"/>
        <w:spacing w:after="60" w:line="276" w:lineRule="auto"/>
        <w:ind w:right="312" w:left="0"/>
        <w:jc w:val="right"/>
        <w:bidi/>
      </w:pPr>
      <w:r>
        <w:rPr>
          <w:rFonts w:ascii="Arial" w:hAnsi="Arial" w:cs="Arial"/>
          <w:b w:val="0"/>
          <w:sz w:val="20"/>
          <w:rtl/>
        </w:rPr>
        <w:t>يصدر أمر الشراء أو العقد بعد اعتماد الطلب والمورد والسعر وتوفر الميزانية، ويمنح رقمًا مرجعيًا متسلسلًا.</w:t>
      </w:r>
    </w:p>
    <w:p>
      <w:pPr>
        <w:pStyle w:val="ListBullet"/>
        <w:spacing w:after="60" w:line="276" w:lineRule="auto"/>
        <w:ind w:right="312" w:left="0"/>
        <w:jc w:val="right"/>
        <w:bidi/>
      </w:pPr>
      <w:r>
        <w:rPr>
          <w:rFonts w:ascii="Arial" w:hAnsi="Arial" w:cs="Arial"/>
          <w:b w:val="0"/>
          <w:sz w:val="20"/>
          <w:rtl/>
        </w:rPr>
        <w:t>يتضمن المستند - بحسب الحالة - النطاق والكميات والأسعار والضريبة والمدة ومكان التسليم ومعايير القبول والضمان والدفع والجزاءات والإنهاء والسرية والملكية الفكرية وحماية البيانات.</w:t>
      </w:r>
    </w:p>
    <w:p>
      <w:pPr>
        <w:pStyle w:val="ListBullet"/>
        <w:spacing w:after="60" w:line="276" w:lineRule="auto"/>
        <w:ind w:right="312" w:left="0"/>
        <w:jc w:val="right"/>
        <w:bidi/>
      </w:pPr>
      <w:r>
        <w:rPr>
          <w:rFonts w:ascii="Arial" w:hAnsi="Arial" w:cs="Arial"/>
          <w:b w:val="0"/>
          <w:sz w:val="20"/>
          <w:rtl/>
        </w:rPr>
        <w:t>لا يبدأ التوريد قبل التوقيع من المخولين، ولا يغير النطاق أو القيمة أو المدة إلا بأمر تغيير معتمد قبل تنفيذه.</w:t>
      </w:r>
    </w:p>
    <w:p>
      <w:pPr>
        <w:pStyle w:val="ListBullet"/>
        <w:spacing w:after="60" w:line="276" w:lineRule="auto"/>
        <w:ind w:right="312" w:left="0"/>
        <w:jc w:val="right"/>
        <w:bidi/>
      </w:pPr>
      <w:r>
        <w:rPr>
          <w:rFonts w:ascii="Arial" w:hAnsi="Arial" w:cs="Arial"/>
          <w:b w:val="0"/>
          <w:sz w:val="20"/>
          <w:rtl/>
        </w:rPr>
        <w:t>تتابع وحدة المشتريات والعقود الالتزامات والتجديدات والضمانات والتأمينات - إن وجدت - ومواعيد الإنهاء.</w:t>
      </w:r>
    </w:p>
    <w:p>
      <w:pPr>
        <w:spacing w:before="200" w:after="100" w:line="283" w:lineRule="auto"/>
        <w:jc w:val="right"/>
        <w:keepNext/>
        <w:bidi/>
      </w:pPr>
      <w:r>
        <w:rPr>
          <w:rFonts w:ascii="Arial" w:hAnsi="Arial" w:cs="Arial"/>
          <w:b/>
          <w:color w:val="084C61"/>
          <w:sz w:val="30"/>
          <w:rtl/>
        </w:rPr>
        <w:t>8. الاستلام والفحص والأجهزة الطبية</w:t>
      </w:r>
    </w:p>
    <w:p>
      <w:pPr>
        <w:pStyle w:val="ListBullet"/>
        <w:spacing w:after="60" w:line="276" w:lineRule="auto"/>
        <w:ind w:right="312" w:left="0"/>
        <w:jc w:val="right"/>
        <w:bidi/>
      </w:pPr>
      <w:r>
        <w:rPr>
          <w:rFonts w:ascii="Arial" w:hAnsi="Arial" w:cs="Arial"/>
          <w:b w:val="0"/>
          <w:sz w:val="20"/>
          <w:rtl/>
        </w:rPr>
        <w:t>تشكل لجنة استلام وفحص أو يكلف موظف مختص بحسب طبيعة وقيمة المشتريات، ويكون الاستلام مستقلًا قدر الإمكان عن طالب الشراء والمشتري، ويطابق أمر الشراء أو العقد والفاتورة والكميات والمواصفات.</w:t>
      </w:r>
    </w:p>
    <w:p>
      <w:pPr>
        <w:pStyle w:val="ListBullet"/>
        <w:spacing w:after="60" w:line="276" w:lineRule="auto"/>
        <w:ind w:right="312" w:left="0"/>
        <w:jc w:val="right"/>
        <w:bidi/>
      </w:pPr>
      <w:r>
        <w:rPr>
          <w:rFonts w:ascii="Arial" w:hAnsi="Arial" w:cs="Arial"/>
          <w:b w:val="0"/>
          <w:sz w:val="20"/>
          <w:rtl/>
        </w:rPr>
        <w:t>يحرر محضر استلام أو إشعار إنجاز يوضح المقبول والمرفوض والنواقص والتاريخ والمسؤولين، ولا يعتمد الاستلام الصوري.</w:t>
      </w:r>
    </w:p>
    <w:p>
      <w:pPr>
        <w:pStyle w:val="ListBullet"/>
        <w:spacing w:after="60" w:line="276" w:lineRule="auto"/>
        <w:ind w:right="312" w:left="0"/>
        <w:jc w:val="right"/>
        <w:bidi/>
      </w:pPr>
      <w:r>
        <w:rPr>
          <w:rFonts w:ascii="Arial" w:hAnsi="Arial" w:cs="Arial"/>
          <w:b w:val="0"/>
          <w:sz w:val="20"/>
          <w:rtl/>
        </w:rPr>
        <w:t>ترفض الأصناف التالفة أو غير المطابقة، ويبلغ المورد بالإجراء التصحيحي دون الإخلال بحقوق الجمعية التعاقدية.</w:t>
      </w:r>
    </w:p>
    <w:p>
      <w:pPr>
        <w:pStyle w:val="ListBullet"/>
        <w:spacing w:after="60" w:line="276" w:lineRule="auto"/>
        <w:ind w:right="312" w:left="0"/>
        <w:jc w:val="right"/>
        <w:bidi/>
      </w:pPr>
      <w:r>
        <w:rPr>
          <w:rFonts w:ascii="Arial" w:hAnsi="Arial" w:cs="Arial"/>
          <w:b w:val="0"/>
          <w:sz w:val="20"/>
          <w:rtl/>
        </w:rPr>
        <w:t>للأجهزة الطبية عند الانطباق: يتولى مختص فني مكلف الفحص والتشغيل والتحقق من التسجيل أو المتطلبات النظامية والضمان والتدريب والصيانة والسلامة قبل القبول.</w:t>
      </w:r>
    </w:p>
    <w:p>
      <w:pPr>
        <w:pStyle w:val="ListBullet"/>
        <w:spacing w:after="60" w:line="276" w:lineRule="auto"/>
        <w:ind w:right="312" w:left="0"/>
        <w:jc w:val="right"/>
        <w:bidi/>
      </w:pPr>
      <w:r>
        <w:rPr>
          <w:rFonts w:ascii="Arial" w:hAnsi="Arial" w:cs="Arial"/>
          <w:b w:val="0"/>
          <w:sz w:val="20"/>
          <w:rtl/>
        </w:rPr>
        <w:t>توسم الأصول برقم أو رمز، وتسجل بياناتها وعهدتها وموقعها قبل التسليم للمستخدم.</w:t>
      </w:r>
    </w:p>
    <w:p>
      <w:pPr>
        <w:spacing w:before="200" w:after="100" w:line="283" w:lineRule="auto"/>
        <w:jc w:val="right"/>
        <w:keepNext/>
        <w:bidi/>
      </w:pPr>
      <w:r>
        <w:rPr>
          <w:rFonts w:ascii="Arial" w:hAnsi="Arial" w:cs="Arial"/>
          <w:b/>
          <w:color w:val="084C61"/>
          <w:sz w:val="30"/>
          <w:rtl/>
        </w:rPr>
        <w:t>9. الفواتير والصرف</w:t>
      </w:r>
    </w:p>
    <w:p>
      <w:pPr>
        <w:spacing w:before="0" w:after="100" w:line="283" w:lineRule="auto"/>
        <w:jc w:val="right"/>
        <w:keepNext w:val="0"/>
        <w:bidi/>
      </w:pPr>
      <w:r>
        <w:rPr>
          <w:rFonts w:ascii="Arial" w:hAnsi="Arial" w:cs="Arial"/>
          <w:b w:val="0"/>
          <w:sz w:val="21"/>
          <w:rtl/>
        </w:rPr>
        <w:t>لا تصرف مستحقات المورد إلا بعد اكتمال المطابقة بين أمر الشراء أو العقد، ومحضر الاستلام أو الإنجاز، والفاتورة النظامية، واعتماد الجهة المختصة. تتحقق الوحدة المالية من عدم التكرار وصحة الحساب والضريبة والاستقطاع والمبلغ المستحق قبل التسجيل والدفع.</w:t>
      </w:r>
    </w:p>
    <w:p>
      <w:pPr>
        <w:pStyle w:val="ListBullet"/>
        <w:spacing w:after="60" w:line="276" w:lineRule="auto"/>
        <w:ind w:right="312" w:left="0"/>
        <w:jc w:val="right"/>
        <w:bidi/>
      </w:pPr>
      <w:r>
        <w:rPr>
          <w:rFonts w:ascii="Arial" w:hAnsi="Arial" w:cs="Arial"/>
          <w:b w:val="0"/>
          <w:sz w:val="20"/>
          <w:rtl/>
        </w:rPr>
        <w:t>تربط الدفعات المقدمة أو المرحلية بضمان أو مخرج أو نسبة إنجاز متناسبة متى اقتضت المخاطر.</w:t>
      </w:r>
    </w:p>
    <w:p>
      <w:pPr>
        <w:pStyle w:val="ListBullet"/>
        <w:spacing w:after="60" w:line="276" w:lineRule="auto"/>
        <w:ind w:right="312" w:left="0"/>
        <w:jc w:val="right"/>
        <w:bidi/>
      </w:pPr>
      <w:r>
        <w:rPr>
          <w:rFonts w:ascii="Arial" w:hAnsi="Arial" w:cs="Arial"/>
          <w:b w:val="0"/>
          <w:sz w:val="20"/>
          <w:rtl/>
        </w:rPr>
        <w:t>لا يعد اعتماد الصرف تصحيحًا لشراء غير مصرح به؛ تعالج المخالفة مستقلةً مع حفظ حقوق المورد حسن النية وفق الأنظمة والعقد.</w:t>
      </w:r>
    </w:p>
    <w:p>
      <w:pPr>
        <w:pStyle w:val="ListBullet"/>
        <w:spacing w:after="60" w:line="276" w:lineRule="auto"/>
        <w:ind w:right="312" w:left="0"/>
        <w:jc w:val="right"/>
        <w:bidi/>
      </w:pPr>
      <w:r>
        <w:rPr>
          <w:rFonts w:ascii="Arial" w:hAnsi="Arial" w:cs="Arial"/>
          <w:b w:val="0"/>
          <w:sz w:val="20"/>
          <w:rtl/>
        </w:rPr>
        <w:t>تسجل الخصومات والمرتجعات والغرامات والإشعارات الدائنة وتسوى مع أصل العملية.</w:t>
      </w:r>
    </w:p>
    <w:p>
      <w:pPr>
        <w:spacing w:before="200" w:after="100" w:line="283" w:lineRule="auto"/>
        <w:jc w:val="right"/>
        <w:keepNext/>
        <w:bidi/>
      </w:pPr>
      <w:r>
        <w:rPr>
          <w:rFonts w:ascii="Arial" w:hAnsi="Arial" w:cs="Arial"/>
          <w:b/>
          <w:color w:val="084C61"/>
          <w:sz w:val="30"/>
          <w:rtl/>
        </w:rPr>
        <w:t>10. الأصول والجرد</w:t>
      </w:r>
    </w:p>
    <w:p>
      <w:pPr>
        <w:pStyle w:val="ListBullet"/>
        <w:spacing w:after="60" w:line="276" w:lineRule="auto"/>
        <w:ind w:right="312" w:left="0"/>
        <w:jc w:val="right"/>
        <w:bidi/>
      </w:pPr>
      <w:r>
        <w:rPr>
          <w:rFonts w:ascii="Arial" w:hAnsi="Arial" w:cs="Arial"/>
          <w:b w:val="0"/>
          <w:sz w:val="20"/>
          <w:rtl/>
        </w:rPr>
        <w:t>تتولى وحدة الدعم الإداري حفظ سجل الأصول والعهد بالتنسيق مع الوحدة المالية والوحدة المستفيدة.</w:t>
      </w:r>
    </w:p>
    <w:p>
      <w:pPr>
        <w:pStyle w:val="ListBullet"/>
        <w:spacing w:after="60" w:line="276" w:lineRule="auto"/>
        <w:ind w:right="312" w:left="0"/>
        <w:jc w:val="right"/>
        <w:bidi/>
      </w:pPr>
      <w:r>
        <w:rPr>
          <w:rFonts w:ascii="Arial" w:hAnsi="Arial" w:cs="Arial"/>
          <w:b w:val="0"/>
          <w:sz w:val="20"/>
          <w:rtl/>
        </w:rPr>
        <w:t>تشكل لجنة جرد بقرار من صاحب الصلاحية لإجراء الجرد الدوري بحسب المخاطر والجرد الشامل في نهاية السنة المالية، ومطابقة النتائج مع السجلات والتحقق من الفروقات ورفع محضرها.</w:t>
      </w:r>
    </w:p>
    <w:p>
      <w:pPr>
        <w:pStyle w:val="ListBullet"/>
        <w:spacing w:after="60" w:line="276" w:lineRule="auto"/>
        <w:ind w:right="312" w:left="0"/>
        <w:jc w:val="right"/>
        <w:bidi/>
      </w:pPr>
      <w:r>
        <w:rPr>
          <w:rFonts w:ascii="Arial" w:hAnsi="Arial" w:cs="Arial"/>
          <w:b w:val="0"/>
          <w:sz w:val="20"/>
          <w:rtl/>
        </w:rPr>
        <w:t>للأجهزة الطبية سجل خاص يشمل اسم الجهاز ورقمه التسلسلي والمصنع وتاريخ الشراء والضمان والموقع والمسؤول وحالة الصيانة والصلاحية.</w:t>
      </w:r>
    </w:p>
    <w:p>
      <w:pPr>
        <w:pStyle w:val="ListBullet"/>
        <w:spacing w:after="60" w:line="276" w:lineRule="auto"/>
        <w:ind w:right="312" w:left="0"/>
        <w:jc w:val="right"/>
        <w:bidi/>
      </w:pPr>
      <w:r>
        <w:rPr>
          <w:rFonts w:ascii="Arial" w:hAnsi="Arial" w:cs="Arial"/>
          <w:b w:val="0"/>
          <w:sz w:val="20"/>
          <w:rtl/>
        </w:rPr>
        <w:t>لا ينقل أو يعار أو يشطب أو يباع أو يتلف أصل إلا بعد تحديث السجل، وفحص لجنة مختصة عند الحاجة، واعتماد صاحب الصلاحية وفق المصفوفة.</w:t>
      </w:r>
    </w:p>
    <w:p>
      <w:pPr>
        <w:pStyle w:val="ListBullet"/>
        <w:spacing w:after="60" w:line="276" w:lineRule="auto"/>
        <w:ind w:right="312" w:left="0"/>
        <w:jc w:val="right"/>
        <w:bidi/>
      </w:pPr>
      <w:r>
        <w:rPr>
          <w:rFonts w:ascii="Arial" w:hAnsi="Arial" w:cs="Arial"/>
          <w:b w:val="0"/>
          <w:sz w:val="20"/>
          <w:rtl/>
        </w:rPr>
        <w:t>تعد لجنة الجرد أو اللجنة المختصة محضرًا للفقد أو التلف أو العجز، وتحدد الحالة والتوصية، مع استكمال التحقق من المسؤولية والإجراء التصحيحي.</w:t>
      </w:r>
    </w:p>
    <w:p>
      <w:pPr>
        <w:spacing w:before="200" w:after="100" w:line="283" w:lineRule="auto"/>
        <w:jc w:val="right"/>
        <w:keepNext/>
        <w:bidi/>
      </w:pPr>
      <w:r>
        <w:rPr>
          <w:rFonts w:ascii="Arial" w:hAnsi="Arial" w:cs="Arial"/>
          <w:b/>
          <w:color w:val="084C61"/>
          <w:sz w:val="30"/>
          <w:rtl/>
        </w:rPr>
        <w:t>11. الاستثناءات والحالات العاجلة</w:t>
      </w:r>
    </w:p>
    <w:p>
      <w:pPr>
        <w:pStyle w:val="ListBullet"/>
        <w:spacing w:after="60" w:line="276" w:lineRule="auto"/>
        <w:ind w:right="312" w:left="0"/>
        <w:jc w:val="right"/>
        <w:bidi/>
      </w:pPr>
      <w:r>
        <w:rPr>
          <w:rFonts w:ascii="Arial" w:hAnsi="Arial" w:cs="Arial"/>
          <w:b w:val="0"/>
          <w:sz w:val="20"/>
          <w:rtl/>
        </w:rPr>
        <w:t>يكون الاستثناء مكتوبًا ومسببًا ومحدد العملية والمدة والقيمة والخطر والضابط البديل، ويعتمده مستوى أعلى من صاحب الصلاحية العادية.</w:t>
      </w:r>
    </w:p>
    <w:p>
      <w:pPr>
        <w:pStyle w:val="ListBullet"/>
        <w:spacing w:after="60" w:line="276" w:lineRule="auto"/>
        <w:ind w:right="312" w:left="0"/>
        <w:jc w:val="right"/>
        <w:bidi/>
      </w:pPr>
      <w:r>
        <w:rPr>
          <w:rFonts w:ascii="Arial" w:hAnsi="Arial" w:cs="Arial"/>
          <w:b w:val="0"/>
          <w:sz w:val="20"/>
          <w:rtl/>
        </w:rPr>
        <w:t>لا يستخدم الاستثناء لتجاوز السقوف أو تجزئة المشتريات أو تفضيل مورد أو معالجة ضعف التخطيط المتكرر.</w:t>
      </w:r>
    </w:p>
    <w:p>
      <w:pPr>
        <w:pStyle w:val="ListBullet"/>
        <w:spacing w:after="60" w:line="276" w:lineRule="auto"/>
        <w:ind w:right="312" w:left="0"/>
        <w:jc w:val="right"/>
        <w:bidi/>
      </w:pPr>
      <w:r>
        <w:rPr>
          <w:rFonts w:ascii="Arial" w:hAnsi="Arial" w:cs="Arial"/>
          <w:b w:val="0"/>
          <w:sz w:val="20"/>
          <w:rtl/>
        </w:rPr>
        <w:t>تسجل حالات المصدر الوحيد والعاجلة والاستثناءات، وتراجع دوريًا لاكتشاف التكرار والإجراءات اللازمة.</w:t>
      </w:r>
    </w:p>
    <w:p>
      <w:pPr>
        <w:pStyle w:val="ListBullet"/>
        <w:spacing w:after="60" w:line="276" w:lineRule="auto"/>
        <w:ind w:right="312" w:left="0"/>
        <w:jc w:val="right"/>
        <w:bidi/>
      </w:pPr>
      <w:r>
        <w:rPr>
          <w:rFonts w:ascii="Arial" w:hAnsi="Arial" w:cs="Arial"/>
          <w:b w:val="0"/>
          <w:sz w:val="20"/>
          <w:rtl/>
        </w:rPr>
        <w:t>تبلغ المخالفات أو شبهات التواطؤ أو الرشوة أو التزوير عبر سياسة الإبلاغ، وتحفظ الأدلة وتوقف العملية عند الحاجة دون إتلاف الحقوق أو السجلات.</w:t>
      </w:r>
    </w:p>
    <w:p>
      <w:pPr>
        <w:spacing w:before="200" w:after="100" w:line="283" w:lineRule="auto"/>
        <w:jc w:val="right"/>
        <w:keepNext/>
        <w:bidi/>
      </w:pPr>
      <w:r>
        <w:rPr>
          <w:rFonts w:ascii="Arial" w:hAnsi="Arial" w:cs="Arial"/>
          <w:b/>
          <w:color w:val="084C61"/>
          <w:sz w:val="30"/>
          <w:rtl/>
        </w:rPr>
        <w:t>12. السجلات والرقابة والمراجعة</w:t>
      </w:r>
    </w:p>
    <w:p>
      <w:pPr>
        <w:spacing w:before="0" w:after="100" w:line="283" w:lineRule="auto"/>
        <w:jc w:val="right"/>
        <w:keepNext w:val="0"/>
        <w:bidi/>
      </w:pPr>
      <w:r>
        <w:rPr>
          <w:rFonts w:ascii="Arial" w:hAnsi="Arial" w:cs="Arial"/>
          <w:b w:val="0"/>
          <w:sz w:val="21"/>
          <w:rtl/>
        </w:rPr>
        <w:t>يحفظ ملف متكامل لكل عملية شراء يشمل الطلب، والتحقق المالي، والمواصفات، والدعوات والعروض، والإفصاحات، والتقييم، والترسية، والأمر أو العقد وتعديلاته، والاستلام، والفاتورة، والدفع، والمراسلات، وتقييم المورد.</w:t>
      </w:r>
    </w:p>
    <w:p>
      <w:pPr>
        <w:spacing w:before="0" w:after="100" w:line="283" w:lineRule="auto"/>
        <w:jc w:val="right"/>
        <w:keepNext w:val="0"/>
        <w:bidi/>
      </w:pPr>
      <w:r>
        <w:rPr>
          <w:rFonts w:ascii="Arial" w:hAnsi="Arial" w:cs="Arial"/>
          <w:b w:val="0"/>
          <w:sz w:val="21"/>
          <w:rtl/>
        </w:rPr>
        <w:t>تحفظ سجلات ومستندات المشتريات ذات الطبيعة المالية والمراسلات المالية وبيانات المتعاملين ماليًا بشكل مباشر مدة لا تقل عن عشر سنوات من تاريخ انتهاء التعامل، ويجوز الحفظ الإلكتروني مع تطبيق ضوابط الحماية وإمكانية الاسترجاع؛ وتطبق مدة أطول إذا أوجبها نظام أو عقد أو نزاع أو تحقيق.</w:t>
      </w:r>
    </w:p>
    <w:tbl>
      <w:tblPr>
        <w:tblStyle w:val="TableGrid"/>
        <w:tblW w:type="auto" w:w="0"/>
        <w:jc w:val="center"/>
        <w:tblLayout w:type="fixed"/>
        <w:tblLook w:firstColumn="1" w:firstRow="1" w:lastColumn="0" w:lastRow="0" w:noHBand="0" w:noVBand="1" w:val="04A0"/>
        <w:bidiVisual/>
      </w:tblPr>
      <w:tblGrid>
        <w:gridCol w:w="3326"/>
        <w:gridCol w:w="3326"/>
        <w:gridCol w:w="3326"/>
      </w:tblGrid>
      <w:tr>
        <w:tc>
          <w:tcPr>
            <w:tcW w:type="dxa" w:w="3515"/>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7"/>
                <w:rtl/>
              </w:rPr>
              <w:t>المؤشر</w:t>
            </w:r>
          </w:p>
        </w:tc>
        <w:tc>
          <w:tcPr>
            <w:tcW w:type="dxa" w:w="4082"/>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7"/>
                <w:rtl/>
              </w:rPr>
              <w:t>الغرض</w:t>
            </w:r>
          </w:p>
        </w:tc>
        <w:tc>
          <w:tcPr>
            <w:tcW w:type="dxa" w:w="1757"/>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7"/>
                <w:rtl/>
              </w:rPr>
              <w:t>الدورية</w:t>
            </w:r>
          </w:p>
        </w:tc>
      </w:tr>
      <w:tr>
        <w:tc>
          <w:tcPr>
            <w:tcW w:type="dxa" w:w="3515"/>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نسبة المشتريات المخططة إلى الإجمالية</w:t>
            </w:r>
          </w:p>
        </w:tc>
        <w:tc>
          <w:tcPr>
            <w:tcW w:type="dxa" w:w="4082"/>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قياس جودة التخطيط وتقليل العاجل</w:t>
            </w:r>
          </w:p>
        </w:tc>
        <w:tc>
          <w:tcPr>
            <w:tcW w:type="dxa" w:w="1757"/>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ربع سنوي</w:t>
            </w:r>
          </w:p>
        </w:tc>
      </w:tr>
      <w:tr>
        <w:tc>
          <w:tcPr>
            <w:tcW w:type="dxa" w:w="351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متوسط زمن دورة الشراء</w:t>
            </w:r>
          </w:p>
        </w:tc>
        <w:tc>
          <w:tcPr>
            <w:tcW w:type="dxa" w:w="4082"/>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قياس الكفاءة دون الإخلال بالضوابط</w:t>
            </w:r>
          </w:p>
        </w:tc>
        <w:tc>
          <w:tcPr>
            <w:tcW w:type="dxa" w:w="175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شهري/ربع سنوي</w:t>
            </w:r>
          </w:p>
        </w:tc>
      </w:tr>
      <w:tr>
        <w:tc>
          <w:tcPr>
            <w:tcW w:type="dxa" w:w="3515"/>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نسبة المنافسات ذات العروض الكافية</w:t>
            </w:r>
          </w:p>
        </w:tc>
        <w:tc>
          <w:tcPr>
            <w:tcW w:type="dxa" w:w="4082"/>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قياس فاعلية المنافسة والسوق</w:t>
            </w:r>
          </w:p>
        </w:tc>
        <w:tc>
          <w:tcPr>
            <w:tcW w:type="dxa" w:w="1757"/>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ربع سنوي</w:t>
            </w:r>
          </w:p>
        </w:tc>
      </w:tr>
      <w:tr>
        <w:tc>
          <w:tcPr>
            <w:tcW w:type="dxa" w:w="351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نسبة التوريد في الموعد والمطابق</w:t>
            </w:r>
          </w:p>
        </w:tc>
        <w:tc>
          <w:tcPr>
            <w:tcW w:type="dxa" w:w="4082"/>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قياس أداء الموردين</w:t>
            </w:r>
          </w:p>
        </w:tc>
        <w:tc>
          <w:tcPr>
            <w:tcW w:type="dxa" w:w="175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ربع سنوي</w:t>
            </w:r>
          </w:p>
        </w:tc>
      </w:tr>
      <w:tr>
        <w:tc>
          <w:tcPr>
            <w:tcW w:type="dxa" w:w="3515"/>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عدد الاستثناءات والمصدر الوحيد</w:t>
            </w:r>
          </w:p>
        </w:tc>
        <w:tc>
          <w:tcPr>
            <w:tcW w:type="dxa" w:w="4082"/>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رصد التجاوز أو الاعتماد المتكرر</w:t>
            </w:r>
          </w:p>
        </w:tc>
        <w:tc>
          <w:tcPr>
            <w:tcW w:type="dxa" w:w="1757"/>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ربع سنوي</w:t>
            </w:r>
          </w:p>
        </w:tc>
      </w:tr>
      <w:tr>
        <w:tc>
          <w:tcPr>
            <w:tcW w:type="dxa" w:w="351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الفروقات المكتشفة بالجرد</w:t>
            </w:r>
          </w:p>
        </w:tc>
        <w:tc>
          <w:tcPr>
            <w:tcW w:type="dxa" w:w="4082"/>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قياس سلامة الأصول والعهد</w:t>
            </w:r>
          </w:p>
        </w:tc>
        <w:tc>
          <w:tcPr>
            <w:tcW w:type="dxa" w:w="175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سنوي ودوري</w:t>
            </w:r>
          </w:p>
        </w:tc>
      </w:tr>
    </w:tbl>
    <w:p>
      <w:pPr>
        <w:spacing w:after="20"/>
      </w:pPr>
    </w:p>
    <w:p>
      <w:pPr>
        <w:spacing w:before="140" w:after="100" w:line="283" w:lineRule="auto"/>
        <w:jc w:val="right"/>
        <w:keepNext/>
        <w:bidi/>
      </w:pPr>
      <w:r>
        <w:rPr>
          <w:rFonts w:ascii="Arial" w:hAnsi="Arial" w:cs="Arial"/>
          <w:b/>
          <w:color w:val="2F7D59"/>
          <w:sz w:val="25"/>
          <w:rtl/>
        </w:rPr>
        <w:t>النفاذ والمراجعة</w:t>
      </w:r>
    </w:p>
    <w:p>
      <w:pPr>
        <w:spacing w:before="0" w:after="100" w:line="283" w:lineRule="auto"/>
        <w:jc w:val="right"/>
        <w:keepNext w:val="0"/>
        <w:bidi/>
      </w:pPr>
      <w:r>
        <w:t>تراجع هذه السياسة سنويًا أو عند تغير اللائحة التنفيذية أو الهيكل أو السياسة المالية أو مصفوفة الصلاحيات. ويعمل بها من تاريخ اعتمادها، ولا تصبح أي سقوف أو أسماء مخولين نافذة إلا بقرار أو مصفوفة معتمدة.</w:t>
      </w:r>
    </w:p>
    <w:p>
      <w:r>
        <w:br w:type="page"/>
      </w:r>
    </w:p>
    <w:p>
      <w:pPr>
        <w:pStyle w:val="Heading1"/>
        <w:jc w:val="right"/>
        <w:keepNext/>
        <w:bidi/>
      </w:pPr>
      <w:r>
        <w:rPr>
          <w:rFonts w:ascii="Arial" w:hAnsi="Arial" w:cs="Arial"/>
          <w:b/>
          <w:color w:val="124D67"/>
          <w:sz w:val="32"/>
        </w:rPr>
        <w:t>السقوف وطرق الشراء</w:t>
      </w:r>
    </w:p>
    <w:p>
      <w:pPr>
        <w:spacing w:after="100" w:line="276" w:lineRule="auto"/>
        <w:jc w:val="both"/>
        <w:bidi/>
      </w:pPr>
      <w:r>
        <w:rPr>
          <w:rFonts w:ascii="Arial" w:hAnsi="Arial" w:cs="Arial"/>
          <w:b/>
          <w:color w:val="20A98B"/>
          <w:sz w:val="22"/>
        </w:rPr>
        <w:t>تطبق طرق الشراء بالقيم المعتمدة المطابقة للمصفوفة.</w:t>
      </w:r>
    </w:p>
    <w:p>
      <w:pPr>
        <w:pStyle w:val="ListBullet"/>
        <w:spacing w:after="60"/>
        <w:jc w:val="right"/>
        <w:bidi/>
      </w:pPr>
      <w:r>
        <w:rPr>
          <w:rFonts w:ascii="Arial" w:hAnsi="Arial" w:cs="Arial"/>
          <w:b w:val="0"/>
          <w:color w:val="173642"/>
          <w:sz w:val="20"/>
        </w:rPr>
        <w:t>حتى 5,000 ريال: شراء مباشر مع التحقق من معقولية السعر.</w:t>
      </w:r>
    </w:p>
    <w:p>
      <w:pPr>
        <w:pStyle w:val="ListBullet"/>
        <w:spacing w:after="60"/>
        <w:jc w:val="right"/>
        <w:bidi/>
      </w:pPr>
      <w:r>
        <w:rPr>
          <w:rFonts w:ascii="Arial" w:hAnsi="Arial" w:cs="Arial"/>
          <w:b w:val="0"/>
          <w:color w:val="173642"/>
          <w:sz w:val="20"/>
        </w:rPr>
        <w:t>أكثر من 5,000 إلى 20,000 ريال: مقارنة أسعار أو عروض مناسبة بحسب طبيعة الشراء.</w:t>
      </w:r>
    </w:p>
    <w:p>
      <w:pPr>
        <w:pStyle w:val="ListBullet"/>
        <w:spacing w:after="60"/>
        <w:jc w:val="right"/>
        <w:bidi/>
      </w:pPr>
      <w:r>
        <w:rPr>
          <w:rFonts w:ascii="Arial" w:hAnsi="Arial" w:cs="Arial"/>
          <w:b w:val="0"/>
          <w:color w:val="173642"/>
          <w:sz w:val="20"/>
        </w:rPr>
        <w:t>أكثر من 20,000 إلى 50,000 ريال: ثلاثة عروض متى أمكن ومحضر مفاضلة.</w:t>
      </w:r>
    </w:p>
    <w:p>
      <w:pPr>
        <w:pStyle w:val="ListBullet"/>
        <w:spacing w:after="60"/>
        <w:jc w:val="right"/>
        <w:bidi/>
      </w:pPr>
      <w:r>
        <w:rPr>
          <w:rFonts w:ascii="Arial" w:hAnsi="Arial" w:cs="Arial"/>
          <w:b w:val="0"/>
          <w:color w:val="173642"/>
          <w:sz w:val="20"/>
        </w:rPr>
        <w:t>أكثر من 50,000 إلى 100,000 ريال: منافسة موثقة وتقييم ومفاضلة.</w:t>
      </w:r>
    </w:p>
    <w:p>
      <w:pPr>
        <w:pStyle w:val="ListBullet"/>
        <w:spacing w:after="60"/>
        <w:jc w:val="right"/>
        <w:bidi/>
      </w:pPr>
      <w:r>
        <w:rPr>
          <w:rFonts w:ascii="Arial" w:hAnsi="Arial" w:cs="Arial"/>
          <w:b w:val="0"/>
          <w:color w:val="173642"/>
          <w:sz w:val="20"/>
        </w:rPr>
        <w:t>أكثر من 100,000 ريال: منافسة موثقة ودراسة عروض وقرار مجلس الإدارة.</w:t>
      </w:r>
    </w:p>
    <w:p>
      <w:pPr>
        <w:pStyle w:val="ListBullet"/>
        <w:spacing w:after="60"/>
        <w:jc w:val="right"/>
        <w:bidi/>
      </w:pPr>
      <w:r>
        <w:rPr>
          <w:rFonts w:ascii="Arial" w:hAnsi="Arial" w:cs="Arial"/>
          <w:b w:val="0"/>
          <w:color w:val="173642"/>
          <w:sz w:val="20"/>
        </w:rPr>
        <w:t>هذه القيم معتمدة ونافذة وفق قرار مجلس الإدارة، وتسري ضوابط منع التجزئة وتعارض المصالح والاستثناء الموثق.</w:t>
      </w:r>
    </w:p>
    <w:p>
      <w:pPr>
        <w:spacing w:before="240" w:after="100"/>
        <w:jc w:val="right"/>
        <w:bidi w:val="1"/>
      </w:pPr>
      <w:r>
        <w:rPr>
          <w:rFonts w:ascii="Arial" w:hAnsi="Arial" w:cs="Arial"/>
          <w:b/>
          <w:color w:val="1F4E78"/>
          <w:sz w:val="28"/>
        </w:rPr>
        <w:t>مرجعية الصلاحيات</w:t>
      </w:r>
    </w:p>
    <w:p>
      <w:pPr>
        <w:spacing w:after="120"/>
        <w:jc w:val="right"/>
        <w:bidi w:val="1"/>
      </w:pPr>
      <w:r>
        <w:rPr>
          <w:rFonts w:ascii="Arial" w:hAnsi="Arial" w:cs="Arial"/>
          <w:b w:val="0"/>
          <w:color w:val="000000"/>
          <w:sz w:val="22"/>
        </w:rPr>
        <w:t>تعد مصفوفة الصلاحيات مع السقوف المالية المعتمدة وقرار اعتمادها المرجع الملزم لأصحاب الاعتماد والمراجعة والتوصية والتنفيذ والإحاطة. وعند التعارض يقدم حكم المصفوفة في حدود توزيع الصلاحيات، ولا ينشأ عن هذه الوثيقة تفويض أو سقف ضمني.</w:t>
      </w:r>
    </w:p>
    <w:p>
      <w:r>
        <w:br w:type="page"/>
      </w:r>
    </w:p>
    <w:p>
      <w:pPr>
        <w:jc w:val="center"/>
        <w:bidi w:val="1"/>
      </w:pPr>
      <w:r>
        <w:rPr>
          <w:rFonts w:ascii="Arial" w:hAnsi="Arial" w:cs="Arial"/>
          <w:b/>
          <w:color w:val="1F4E78"/>
          <w:sz w:val="34"/>
        </w:rPr>
        <w:t>ملحق النماذج والسجلات</w:t>
      </w:r>
    </w:p>
    <w:p>
      <w:r>
        <w:br w:type="page"/>
      </w:r>
    </w:p>
    <w:p>
      <w:pPr>
        <w:spacing w:after="180"/>
        <w:jc w:val="center"/>
        <w:bidi w:val="1"/>
      </w:pPr>
      <w:r>
        <w:rPr>
          <w:rFonts w:ascii="Arial" w:hAnsi="Arial" w:cs="Arial"/>
          <w:b/>
          <w:color w:val="1F4E78"/>
          <w:sz w:val="30"/>
        </w:rPr>
        <w:t>PRC-F01 — طلب شراء</w:t>
      </w:r>
    </w:p>
    <w:tbl>
      <w:tblPr>
        <w:tblW w:type="auto" w:w="0"/>
        <w:jc w:val="center"/>
        <w:tblLayout w:type="fixed"/>
        <w:tblLook w:firstColumn="1" w:firstRow="1" w:lastColumn="0" w:lastRow="0" w:noHBand="0" w:noVBand="1" w:val="04A0"/>
      </w:tblPr>
      <w:tblGrid>
        <w:gridCol w:w="2952"/>
        <w:gridCol w:w="6264"/>
      </w:tblGrid>
      <w:tr>
        <w:tc>
          <w:tcPr>
            <w:tcW w:type="dxa" w:w="4989"/>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89"/>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الجهة الطالبة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وصف الاحتياج</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المواصفات والكمية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القيمة التقديرية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البند المالي</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موعد الحاجة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التوصية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المراجعة المالية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الاعتماد</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bl>
    <w:p>
      <w:r>
        <w:br w:type="page"/>
      </w:r>
    </w:p>
    <w:p>
      <w:pPr>
        <w:spacing w:after="180"/>
        <w:jc w:val="center"/>
        <w:bidi w:val="1"/>
      </w:pPr>
      <w:r>
        <w:rPr>
          <w:rFonts w:ascii="Arial" w:hAnsi="Arial" w:cs="Arial"/>
          <w:b/>
          <w:color w:val="1F4E78"/>
          <w:sz w:val="30"/>
        </w:rPr>
        <w:t>PRC-F02 — محضر مقارنة وتقييم عروض</w:t>
      </w:r>
    </w:p>
    <w:tbl>
      <w:tblPr>
        <w:tblW w:type="auto" w:w="0"/>
        <w:jc w:val="center"/>
        <w:tblLayout w:type="fixed"/>
        <w:tblLook w:firstColumn="1" w:firstRow="1" w:lastColumn="0" w:lastRow="0" w:noHBand="0" w:noVBand="1" w:val="04A0"/>
      </w:tblPr>
      <w:tblGrid>
        <w:gridCol w:w="2952"/>
        <w:gridCol w:w="6264"/>
      </w:tblGrid>
      <w:tr>
        <w:tc>
          <w:tcPr>
            <w:tcW w:type="dxa" w:w="4989"/>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89"/>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رقم الطلب</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الموردون</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القيمة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المطابقة الفنية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شروط الدفع</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مدة التوريد</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نتيجة التقييم</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الإفصاحات</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التوصية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bl>
    <w:p>
      <w:r>
        <w:br w:type="page"/>
      </w:r>
    </w:p>
    <w:p>
      <w:pPr>
        <w:spacing w:after="180"/>
        <w:jc w:val="center"/>
        <w:bidi w:val="1"/>
      </w:pPr>
      <w:r>
        <w:rPr>
          <w:rFonts w:ascii="Arial" w:hAnsi="Arial" w:cs="Arial"/>
          <w:b/>
          <w:color w:val="1F4E78"/>
          <w:sz w:val="30"/>
        </w:rPr>
        <w:t>PRC-F03 — قرار الترسية وأمر الشراء</w:t>
      </w:r>
    </w:p>
    <w:tbl>
      <w:tblPr>
        <w:tblW w:type="auto" w:w="0"/>
        <w:jc w:val="center"/>
        <w:tblLayout w:type="fixed"/>
        <w:tblLook w:firstColumn="1" w:firstRow="1" w:lastColumn="0" w:lastRow="0" w:noHBand="0" w:noVBand="1" w:val="04A0"/>
      </w:tblPr>
      <w:tblGrid>
        <w:gridCol w:w="2952"/>
        <w:gridCol w:w="6264"/>
      </w:tblGrid>
      <w:tr>
        <w:tc>
          <w:tcPr>
            <w:tcW w:type="dxa" w:w="4989"/>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89"/>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رقم الطلب</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المورد</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القيمة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نطاق التوريد</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مدة التنفيذ</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الضمانات</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الجزاءات</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صاحب الاعتماد</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تاريخ القرار</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bl>
    <w:p>
      <w:r>
        <w:br w:type="page"/>
      </w:r>
    </w:p>
    <w:p>
      <w:pPr>
        <w:spacing w:after="180"/>
        <w:jc w:val="center"/>
        <w:bidi w:val="1"/>
      </w:pPr>
      <w:r>
        <w:rPr>
          <w:rFonts w:ascii="Arial" w:hAnsi="Arial" w:cs="Arial"/>
          <w:b/>
          <w:color w:val="1F4E78"/>
          <w:sz w:val="30"/>
        </w:rPr>
        <w:t>PRC-F04 — محضر استلام أصناف أو خدمات</w:t>
      </w:r>
    </w:p>
    <w:tbl>
      <w:tblPr>
        <w:tblW w:type="auto" w:w="0"/>
        <w:jc w:val="center"/>
        <w:tblLayout w:type="fixed"/>
        <w:tblLook w:firstColumn="1" w:firstRow="1" w:lastColumn="0" w:lastRow="0" w:noHBand="0" w:noVBand="1" w:val="04A0"/>
      </w:tblPr>
      <w:tblGrid>
        <w:gridCol w:w="2952"/>
        <w:gridCol w:w="6264"/>
      </w:tblGrid>
      <w:tr>
        <w:tc>
          <w:tcPr>
            <w:tcW w:type="dxa" w:w="4989"/>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89"/>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أمر الشراء/العقد</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المورد</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تاريخ الاستلام</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الأصناف/الخدمات</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الكمية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نتيجة الفحص</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النواقص</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قرار القبول</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التوقيعات</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bl>
    <w:p>
      <w:r>
        <w:br w:type="page"/>
      </w:r>
    </w:p>
    <w:p>
      <w:pPr>
        <w:spacing w:after="180"/>
        <w:jc w:val="center"/>
        <w:bidi w:val="1"/>
      </w:pPr>
      <w:r>
        <w:rPr>
          <w:rFonts w:ascii="Arial" w:hAnsi="Arial" w:cs="Arial"/>
          <w:b/>
          <w:color w:val="1F4E78"/>
          <w:sz w:val="30"/>
        </w:rPr>
        <w:t>PRC-R01 — سجل الموردين والعقود</w:t>
      </w:r>
    </w:p>
    <w:tbl>
      <w:tblPr>
        <w:tblW w:type="auto" w:w="0"/>
        <w:jc w:val="center"/>
        <w:tblLayout w:type="fixed"/>
        <w:tblLook w:firstColumn="1" w:firstRow="1" w:lastColumn="0" w:lastRow="0" w:noHBand="0" w:noVBand="1" w:val="04A0"/>
      </w:tblPr>
      <w:tblGrid>
        <w:gridCol w:w="2952"/>
        <w:gridCol w:w="6264"/>
      </w:tblGrid>
      <w:tr>
        <w:tc>
          <w:tcPr>
            <w:tcW w:type="dxa" w:w="4989"/>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89"/>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المورد</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السجل والبيانات</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التخصص</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العقد/الأمر</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القيمة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المدة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التقييم</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التعارض</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الحالة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bl>
    <w:sectPr w:rsidR="00FC693F" w:rsidRPr="0006063C" w:rsidSect="00034616">
      <w:headerReference w:type="default" r:id="rId9"/>
      <w:footerReference w:type="default" r:id="rId10"/>
      <w:headerReference w:type="first" r:id="rId11"/>
      <w:headerReference w:type="even" r:id="rId12"/>
      <w:footerReference w:type="first" r:id="rId13"/>
      <w:footerReference w:type="even" r:id="rId14"/>
      <w:pgSz w:w="11906" w:h="16838"/>
      <w:pgMar w:top="1191" w:right="964" w:bottom="1077" w:left="964" w:header="369"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cs="Arial"/>
        <w:color w:val="0B7F9E"/>
        <w:sz w:val="16"/>
      </w:rPr>
      <w:t xml:space="preserve">صفحة </w:t>
    </w:r>
    <w:fldSimple w:instr="PAGE"/>
  </w:p>
  <w:p>
    <w:pPr>
      <w:spacing w:before="0" w:after="0"/>
      <w:jc w:val="center"/>
    </w:pPr>
    <w:r>
      <w:drawing>
        <wp:inline xmlns:a="http://schemas.openxmlformats.org/drawingml/2006/main" xmlns:pic="http://schemas.openxmlformats.org/drawingml/2006/picture">
          <wp:extent cx="7772400" cy="1243584"/>
          <wp:docPr id="1" name="Picture 1"/>
          <wp:cNvGraphicFramePr>
            <a:graphicFrameLocks noChangeAspect="1"/>
          </wp:cNvGraphicFramePr>
          <a:graphic>
            <a:graphicData uri="http://schemas.openxmlformats.org/drawingml/2006/picture">
              <pic:pic>
                <pic:nvPicPr>
                  <pic:cNvPr id="0" name="footer.png"/>
                  <pic:cNvPicPr/>
                </pic:nvPicPr>
                <pic:blipFill>
                  <a:blip r:embed="rId1"/>
                  <a:stretch>
                    <a:fillRect/>
                  </a:stretch>
                </pic:blipFill>
                <pic:spPr>
                  <a:xfrm>
                    <a:off x="0" y="0"/>
                    <a:ext cx="7772400" cy="1243584"/>
                  </a:xfrm>
                  <a:prstGeom prst="rect"/>
                </pic:spPr>
              </pic:pic>
            </a:graphicData>
          </a:graphic>
        </wp:inline>
      </w:drawing>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line="240" w:lineRule="auto"/>
      <w:jc w:val="center"/>
    </w:pPr>
    <w:r>
      <w:drawing>
        <wp:inline xmlns:a="http://schemas.openxmlformats.org/drawingml/2006/main" xmlns:pic="http://schemas.openxmlformats.org/drawingml/2006/picture">
          <wp:extent cx="7772400" cy="1956816"/>
          <wp:docPr id="1" name="Picture 1"/>
          <wp:cNvGraphicFramePr>
            <a:graphicFrameLocks noChangeAspect="1"/>
          </wp:cNvGraphicFramePr>
          <a:graphic>
            <a:graphicData uri="http://schemas.openxmlformats.org/drawingml/2006/picture">
              <pic:pic>
                <pic:nvPicPr>
                  <pic:cNvPr id="0" name="header.png"/>
                  <pic:cNvPicPr/>
                </pic:nvPicPr>
                <pic:blipFill>
                  <a:blip r:embed="rId1"/>
                  <a:stretch>
                    <a:fillRect/>
                  </a:stretch>
                </pic:blipFill>
                <pic:spPr>
                  <a:xfrm>
                    <a:off x="0" y="0"/>
                    <a:ext cx="7772400" cy="1956816"/>
                  </a:xfrm>
                  <a:prstGeom prst="rect"/>
                </pic:spPr>
              </pic:pic>
            </a:graphicData>
          </a:graphic>
        </wp:inline>
      </w:drawing>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64" w:lineRule="auto"/>
    </w:pPr>
    <w:rPr>
      <w:rFonts w:ascii="Arial" w:hAnsi="Arial" w:cs="Arial"/>
      <w:color w:val="1F2933"/>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60"/>
      <w:outlineLvl w:val="0"/>
    </w:pPr>
    <w:rPr>
      <w:rFonts w:asciiTheme="majorHAnsi" w:eastAsiaTheme="majorEastAsia" w:hAnsiTheme="majorHAnsi" w:cstheme="majorBidi" w:ascii="Arial" w:hAnsi="Arial" w:cs="Arial"/>
      <w:b/>
      <w:bCs/>
      <w:color w:val="0B7F9E"/>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cs="Arial"/>
      <w:b/>
      <w:bCs/>
      <w:color w:val="A9322D"/>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cs="Arial"/>
      <w:b/>
      <w:bCs/>
      <w:color w:val="0B7F9E"/>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0"/>
      <w:contextualSpacing/>
    </w:pPr>
    <w:rPr>
      <w:rFonts w:asciiTheme="majorHAnsi" w:eastAsiaTheme="majorEastAsia" w:hAnsiTheme="majorHAnsi" w:cstheme="majorBidi" w:ascii="Arial" w:hAnsi="Arial" w:cs="Arial"/>
      <w:b/>
      <w:color w:val="0B7F9E"/>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2.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سياسة وإجراءات المشتريات النسخة النهائية</dc:title>
  <dc:subject>نسخة معتمدة متضمنة ملحق النماذج والسجلات</dc:subject>
  <dc:creator>جمعية البلسم للتدريب والتطوير الصحي</dc:creator>
  <cp:keywords>غسل الأموال، تمويل الإرهاب، الحوكمة، الامتثال</cp:keywords>
  <dc:description>generated by python-docx</dc:description>
  <cp:lastModifiedBy/>
  <cp:revision>1</cp:revision>
  <dcterms:created xsi:type="dcterms:W3CDTF">2013-12-23T23:15:00Z</dcterms:created>
  <dcterms:modified xsi:type="dcterms:W3CDTF">2013-12-23T23:15:00Z</dcterms:modified>
  <cp:category/>
</cp:coreProperties>
</file>