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40" w:line="281" w:lineRule="auto"/>
        <w:jc w:val="right"/>
        <w:keepNext w:val="0"/>
        <w:bidi/>
      </w:pPr>
      <w:r>
        <w:rPr>
          <w:rFonts w:ascii="Arial" w:hAnsi="Arial" w:cs="Arial"/>
          <w:b w:val="0"/>
          <w:sz w:val="20"/>
          <w:rtl/>
        </w:rPr>
      </w:r>
    </w:p>
    <w:p>
      <w:pPr>
        <w:spacing w:before="0" w:after="200" w:line="281" w:lineRule="auto"/>
        <w:jc w:val="center"/>
        <w:keepNext w:val="0"/>
        <w:bidi/>
      </w:pPr>
      <w:r>
        <w:rPr>
          <w:rFonts w:ascii="Arial" w:hAnsi="Arial" w:cs="Arial"/>
          <w:b/>
          <w:color w:val="084C61"/>
          <w:sz w:val="50"/>
          <w:rtl/>
        </w:rPr>
        <w:t>سياسة خصوصية البيانات الشخصية</w:t>
      </w:r>
    </w:p>
    <w:p>
      <w:pPr>
        <w:spacing w:before="0" w:after="500" w:line="281" w:lineRule="auto"/>
        <w:jc w:val="center"/>
        <w:keepNext w:val="0"/>
        <w:bidi/>
      </w:pPr>
      <w:r>
        <w:rPr>
          <w:rFonts w:ascii="Arial" w:hAnsi="Arial" w:cs="Arial"/>
          <w:b/>
          <w:color w:val="2F7D59"/>
          <w:sz w:val="28"/>
          <w:rtl/>
        </w:rPr>
        <w:t>جمعية البلسم للتدريب والتطوير الصحي</w:t>
      </w:r>
    </w:p>
    <w:p>
      <w:pPr>
        <w:spacing w:before="0" w:after="1480" w:line="281" w:lineRule="auto"/>
        <w:jc w:val="center"/>
        <w:keepNext w:val="0"/>
        <w:bidi/>
      </w:pPr>
      <w:r>
        <w:rPr>
          <w:rFonts w:ascii="Arial" w:hAnsi="Arial" w:cs="Arial"/>
          <w:b w:val="0"/>
          <w:color w:val="5A6770"/>
          <w:sz w:val="22"/>
          <w:rtl/>
        </w:rPr>
        <w:t>معالجة مشروعة، شفافية واضحة، وحماية مستمرة</w:t>
      </w:r>
    </w:p>
    <w:p>
      <w:r>
        <w:br w:type="page"/>
      </w:r>
    </w:p>
    <w:p>
      <w:pPr>
        <w:spacing w:before="180" w:after="100" w:line="281" w:lineRule="auto"/>
        <w:jc w:val="right"/>
        <w:keepNext/>
        <w:bidi/>
      </w:pPr>
      <w:r>
        <w:rPr>
          <w:rFonts w:ascii="Arial" w:hAnsi="Arial" w:cs="Arial"/>
          <w:b/>
          <w:color w:val="084C61"/>
          <w:sz w:val="30"/>
          <w:rtl/>
        </w:rPr>
        <w:t>صفحة اعتماد الوثيقة</w:t>
      </w:r>
    </w:p>
    <w:p>
      <w:pPr>
        <w:spacing w:before="0" w:after="220" w:line="281" w:lineRule="auto"/>
        <w:jc w:val="right"/>
        <w:keepNext w:val="0"/>
        <w:bidi/>
      </w:pPr>
      <w:r>
        <w:rPr>
          <w:rFonts w:ascii="Arial" w:hAnsi="Arial" w:cs="Arial"/>
          <w:b w:val="0"/>
          <w:sz w:val="20"/>
          <w:rtl/>
        </w:rPr>
        <w:t>اعتمد مجلس إدارة جمعية البلسم للتدريب والتطوير الصحي هذه السياسة لتنظيم معالجة البيانات الشخصية وحمايتها وفق نظام حماية البيانات الشخصية ولوائحه، وتلتزم جميع الوحدات والعاملين والمتطوعين والمتعاقدين بتطبيقها.</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835"/>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البيان</w:t>
            </w:r>
          </w:p>
        </w:tc>
        <w:tc>
          <w:tcPr>
            <w:tcW w:type="dxa" w:w="652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البيانات</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اسم الوثيقة</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سياسة خصوصية البيانات الشخصية</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مالك الوثيقة</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مجلس الإدارة</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جهة التنفيذ</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الإدارة التنفيذية والحوكمة/الامتثال وتقنية المعلومات وجميع الوحدات المعالجة للبيانات</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رقم قرار مجلس الإدارة</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تاريخ القرار</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 / ........ / ........ هـ   الموافق   ........ / ........ / ........ م</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رقم الإصدار</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تاريخ النفاذ</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 / ........ / ........ م</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دورية المراجعة</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سنويًا أو عند تغير الأنظمة أو الأنشطة أو التقنية أو المخاطر</w:t>
            </w:r>
          </w:p>
        </w:tc>
      </w:tr>
    </w:tbl>
    <w:p>
      <w:pPr>
        <w:spacing w:after="20"/>
      </w:pPr>
    </w:p>
    <w:p>
      <w:pPr>
        <w:spacing w:before="120" w:after="100" w:line="281" w:lineRule="auto"/>
        <w:jc w:val="right"/>
        <w:keepNext/>
        <w:bidi/>
      </w:pPr>
      <w:r>
        <w:rPr>
          <w:rFonts w:ascii="Arial" w:hAnsi="Arial" w:cs="Arial"/>
          <w:b/>
          <w:color w:val="2F7D59"/>
          <w:sz w:val="25"/>
          <w:rtl/>
        </w:rPr>
        <w:t>التوقيع والاعتماد</w:t>
      </w:r>
    </w:p>
    <w:tbl>
      <w:tblPr>
        <w:tblStyle w:val="TableGrid"/>
        <w:tblW w:type="auto" w:w="0"/>
        <w:jc w:val="center"/>
        <w:tblLayout w:type="fixed"/>
        <w:tblLook w:firstColumn="1" w:firstRow="1" w:lastColumn="0" w:lastRow="0" w:noHBand="0" w:noVBand="1" w:val="04A0"/>
        <w:bidiVisual/>
      </w:tblPr>
      <w:tblGrid>
        <w:gridCol w:w="2494"/>
        <w:gridCol w:w="2494"/>
        <w:gridCol w:w="2494"/>
        <w:gridCol w:w="2494"/>
      </w:tblGrid>
      <w:tr>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الصفة</w:t>
            </w:r>
          </w:p>
        </w:tc>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الاسم</w:t>
            </w:r>
          </w:p>
        </w:tc>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التوقيع</w:t>
            </w:r>
          </w:p>
        </w:tc>
        <w:tc>
          <w:tcPr>
            <w:tcW w:type="dxa" w:w="204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الختم</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رئيس مجلس الإدارة</w:t>
            </w:r>
          </w:p>
        </w:tc>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r>
          </w:p>
        </w:tc>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r>
          </w:p>
        </w:tc>
        <w:tc>
          <w:tcPr>
            <w:tcW w:type="dxa" w:w="2041"/>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r>
          </w:p>
        </w:tc>
      </w:tr>
    </w:tbl>
    <w:p>
      <w:pPr>
        <w:spacing w:after="20"/>
      </w:pPr>
    </w:p>
    <w:p>
      <w:r>
        <w:br w:type="page"/>
      </w:r>
    </w:p>
    <w:p>
      <w:pPr>
        <w:spacing w:before="180" w:after="100" w:line="281" w:lineRule="auto"/>
        <w:jc w:val="right"/>
        <w:keepNext/>
        <w:bidi/>
      </w:pPr>
      <w:r>
        <w:rPr>
          <w:rFonts w:ascii="Arial" w:hAnsi="Arial" w:cs="Arial"/>
          <w:b/>
          <w:color w:val="084C61"/>
          <w:sz w:val="30"/>
          <w:rtl/>
        </w:rPr>
        <w:t>ضبط الوثيقة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55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العنصر</w:t>
            </w:r>
          </w:p>
        </w:tc>
        <w:tc>
          <w:tcPr>
            <w:tcW w:type="dxa" w:w="680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البيان</w:t>
            </w:r>
          </w:p>
        </w:tc>
      </w:tr>
      <w:tr>
        <w:tc>
          <w:tcPr>
            <w:tcW w:type="dxa" w:w="255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المرجعية</w:t>
            </w:r>
          </w:p>
        </w:tc>
        <w:tc>
          <w:tcPr>
            <w:tcW w:type="dxa" w:w="680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نظام حماية البيانات الشخصية ولائحته التنفيذية والضوابط والقواعد والأدلة الصادرة عن الجهة المختصة، مع الأنظمة الأخرى ذات الصلة.</w:t>
            </w:r>
          </w:p>
        </w:tc>
      </w:tr>
      <w:tr>
        <w:tc>
          <w:tcPr>
            <w:tcW w:type="dxa" w:w="255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النطاق</w:t>
            </w:r>
          </w:p>
        </w:tc>
        <w:tc>
          <w:tcPr>
            <w:tcW w:type="dxa" w:w="680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بيانات المستفيدين والمتقدمين والعاملين والمتطوعين والمتبرعين والأعضاء والموردين والشركاء والزوار والمتواصلين وأي صاحب بيانات تتعامل معه الجمعية.</w:t>
            </w:r>
          </w:p>
        </w:tc>
      </w:tr>
      <w:tr>
        <w:tc>
          <w:tcPr>
            <w:tcW w:type="dxa" w:w="255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الوثائق المكملة</w:t>
            </w:r>
          </w:p>
        </w:tc>
        <w:tc>
          <w:tcPr>
            <w:tcW w:type="dxa" w:w="680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سياسة حفظ السجلات، سياسة أمن المعلومات، سياسة الشكاوى، إجراءات الحوادث، العقود واتفاقيات المعالجة، وسجل أنشطة المعالجة.</w:t>
            </w:r>
          </w:p>
        </w:tc>
      </w:tr>
      <w:tr>
        <w:tc>
          <w:tcPr>
            <w:tcW w:type="dxa" w:w="255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درجة الإتاحة</w:t>
            </w:r>
          </w:p>
        </w:tc>
        <w:tc>
          <w:tcPr>
            <w:tcW w:type="dxa" w:w="680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السياسة وإشعار الخصوصية وقنوات الحقوق قابلة للنشر؛ سجل المعالجة وتفاصيل الحوادث والتقييمات الأمنية سجلات داخلية مقيدة.</w:t>
            </w:r>
          </w:p>
        </w:tc>
      </w:tr>
    </w:tbl>
    <w:p>
      <w:pPr>
        <w:spacing w:after="20"/>
      </w:pPr>
    </w:p>
    <w:p>
      <w:pPr>
        <w:spacing w:before="180" w:after="100" w:line="281" w:lineRule="auto"/>
        <w:jc w:val="right"/>
        <w:keepNext/>
        <w:bidi/>
      </w:pPr>
      <w:r>
        <w:rPr>
          <w:rFonts w:ascii="Arial" w:hAnsi="Arial" w:cs="Arial"/>
          <w:b/>
          <w:color w:val="084C61"/>
          <w:sz w:val="30"/>
          <w:rtl/>
        </w:rPr>
        <w:t>فهرس المحتويات</w:t>
      </w:r>
    </w:p>
    <w:tbl>
      <w:tblPr>
        <w:tblStyle w:val="TableGrid"/>
        <w:tblW w:type="auto" w:w="0"/>
        <w:jc w:val="center"/>
        <w:tblLayout w:type="fixed"/>
        <w:tblLook w:firstColumn="1" w:firstRow="1" w:lastColumn="0" w:lastRow="0" w:noHBand="0" w:noVBand="1" w:val="04A0"/>
        <w:bidiVisual/>
      </w:tblPr>
      <w:tblGrid>
        <w:gridCol w:w="2494"/>
        <w:gridCol w:w="2494"/>
        <w:gridCol w:w="2494"/>
        <w:gridCol w:w="2494"/>
      </w:tblGrid>
      <w:tr>
        <w:tc>
          <w:tcPr>
            <w:tcW w:type="dxa" w:w="68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م</w:t>
            </w:r>
          </w:p>
        </w:tc>
        <w:tc>
          <w:tcPr>
            <w:tcW w:type="dxa" w:w="399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الموضوع</w:t>
            </w:r>
          </w:p>
        </w:tc>
        <w:tc>
          <w:tcPr>
            <w:tcW w:type="dxa" w:w="68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م</w:t>
            </w:r>
          </w:p>
        </w:tc>
        <w:tc>
          <w:tcPr>
            <w:tcW w:type="dxa" w:w="399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الموضوع</w:t>
            </w:r>
          </w:p>
        </w:tc>
      </w:tr>
      <w:tr>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1</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الغرض والنطاق والتعريفات</w:t>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8</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حقوق صاحب البيانات</w:t>
            </w:r>
          </w:p>
        </w:tc>
      </w:tr>
      <w:tr>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2</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المبادئ والمسؤولية</w:t>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9</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الإفصاح والمشاركة والنقل</w:t>
            </w:r>
          </w:p>
        </w:tc>
      </w:tr>
      <w:tr>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3</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فئات البيانات وأصحابها</w:t>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10</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الأمن والحوادث</w:t>
            </w:r>
          </w:p>
        </w:tc>
      </w:tr>
      <w:tr>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4</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أغراض المعالجة</w:t>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11</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الاحتفاظ والإتلاف</w:t>
            </w:r>
          </w:p>
        </w:tc>
      </w:tr>
      <w:tr>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5</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الأسس النظامية</w:t>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12</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المسؤوليات والمراجعة</w:t>
            </w:r>
          </w:p>
        </w:tc>
      </w:tr>
      <w:tr>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6</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الجمع والحد الأدنى</w:t>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13</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إشعار الخصوصية والسجلات الملحقة</w:t>
            </w:r>
          </w:p>
        </w:tc>
      </w:tr>
    </w:tbl>
    <w:p>
      <w:pPr>
        <w:spacing w:after="20"/>
      </w:pPr>
    </w:p>
    <w:p>
      <w:pPr>
        <w:spacing w:before="180" w:after="100" w:line="281" w:lineRule="auto"/>
        <w:jc w:val="right"/>
        <w:keepNext/>
        <w:bidi/>
      </w:pPr>
      <w:r>
        <w:rPr>
          <w:rFonts w:ascii="Arial" w:hAnsi="Arial" w:cs="Arial"/>
          <w:b/>
          <w:color w:val="084C61"/>
          <w:sz w:val="30"/>
          <w:rtl/>
        </w:rPr>
        <w:t>1. الغرض والنطاق والتعريفات</w:t>
      </w:r>
    </w:p>
    <w:p>
      <w:pPr>
        <w:spacing w:before="120" w:after="100" w:line="281" w:lineRule="auto"/>
        <w:jc w:val="right"/>
        <w:keepNext/>
        <w:bidi/>
      </w:pPr>
      <w:r>
        <w:rPr>
          <w:rFonts w:ascii="Arial" w:hAnsi="Arial" w:cs="Arial"/>
          <w:b/>
          <w:color w:val="2F7D59"/>
          <w:sz w:val="25"/>
          <w:rtl/>
        </w:rPr>
        <w:t>1.1 الغرض</w:t>
      </w:r>
    </w:p>
    <w:p>
      <w:pPr>
        <w:spacing w:before="0" w:after="100" w:line="281" w:lineRule="auto"/>
        <w:jc w:val="right"/>
        <w:keepNext w:val="0"/>
        <w:bidi/>
      </w:pPr>
      <w:r>
        <w:rPr>
          <w:rFonts w:ascii="Arial" w:hAnsi="Arial" w:cs="Arial"/>
          <w:b w:val="0"/>
          <w:sz w:val="20"/>
          <w:rtl/>
        </w:rPr>
        <w:t>ضمان معالجة البيانات الشخصية بصورة مشروعة وعادلة وشفافة وآمنة، وتحديد الأغراض والأسس والمسؤوليات والحقوق ودورة حياة البيانات والاستجابة للحوادث.</w:t>
      </w:r>
    </w:p>
    <w:p>
      <w:pPr>
        <w:spacing w:before="120" w:after="100" w:line="281" w:lineRule="auto"/>
        <w:jc w:val="right"/>
        <w:keepNext/>
        <w:bidi/>
      </w:pPr>
      <w:r>
        <w:rPr>
          <w:rFonts w:ascii="Arial" w:hAnsi="Arial" w:cs="Arial"/>
          <w:b/>
          <w:color w:val="2F7D59"/>
          <w:sz w:val="25"/>
          <w:rtl/>
        </w:rPr>
        <w:t>1.2 النطاق</w:t>
      </w:r>
    </w:p>
    <w:p>
      <w:pPr>
        <w:spacing w:before="0" w:after="100" w:line="281" w:lineRule="auto"/>
        <w:jc w:val="right"/>
        <w:keepNext w:val="0"/>
        <w:bidi/>
      </w:pPr>
      <w:r>
        <w:rPr>
          <w:rFonts w:ascii="Arial" w:hAnsi="Arial" w:cs="Arial"/>
          <w:b w:val="0"/>
          <w:sz w:val="20"/>
          <w:rtl/>
        </w:rPr>
        <w:t>تطبق على كل معالجة ورقية أو إلكترونية تجريها الجمعية بصفتها جهة تحكم، وعلى المعالجين الذين يعالجون البيانات لحسابها، وتشمل البيانات المجموعة مباشرة أو من مصادر أخرى مشروعة.</w:t>
      </w:r>
    </w:p>
    <w:p>
      <w:pPr>
        <w:spacing w:before="120" w:after="100" w:line="281" w:lineRule="auto"/>
        <w:jc w:val="right"/>
        <w:keepNext/>
        <w:bidi/>
      </w:pPr>
      <w:r>
        <w:rPr>
          <w:rFonts w:ascii="Arial" w:hAnsi="Arial" w:cs="Arial"/>
          <w:b/>
          <w:color w:val="2F7D59"/>
          <w:sz w:val="25"/>
          <w:rtl/>
        </w:rPr>
        <w:t>1.3 التعريفات</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38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المصطلح</w:t>
            </w:r>
          </w:p>
        </w:tc>
        <w:tc>
          <w:tcPr>
            <w:tcW w:type="dxa" w:w="697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التعريف</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البيانات الشخصية</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كل بيان من شأنه أن يؤدي إلى معرفة الفرد على وجه التحديد، مباشرة أو غير مباشرة.</w:t>
            </w:r>
          </w:p>
        </w:tc>
      </w:tr>
      <w:tr>
        <w:tc>
          <w:tcPr>
            <w:tcW w:type="dxa" w:w="238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البيانات الحساسة</w:t>
            </w:r>
          </w:p>
        </w:tc>
        <w:tc>
          <w:tcPr>
            <w:tcW w:type="dxa" w:w="697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البيانات التي يمنحها النظام حماية خاصة، ومنها البيانات الصحية والحيوية والوراثية وما يلحق بها نظامًا.</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المعالجة</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أي عملية على البيانات، مثل الجمع والتسجيل والحفظ والتنظيم والاستخدام والإفصاح والنقل والإتلاف.</w:t>
            </w:r>
          </w:p>
        </w:tc>
      </w:tr>
      <w:tr>
        <w:tc>
          <w:tcPr>
            <w:tcW w:type="dxa" w:w="238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صاحب البيانات</w:t>
            </w:r>
          </w:p>
        </w:tc>
        <w:tc>
          <w:tcPr>
            <w:tcW w:type="dxa" w:w="697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الشخص الذي تتعلق به البيانات الشخصية.</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جهة التحكم</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الجمعية عندما تحدد غرض المعالجة وكيفيتها.</w:t>
            </w:r>
          </w:p>
        </w:tc>
      </w:tr>
      <w:tr>
        <w:tc>
          <w:tcPr>
            <w:tcW w:type="dxa" w:w="238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جهة المعالجة</w:t>
            </w:r>
          </w:p>
        </w:tc>
        <w:tc>
          <w:tcPr>
            <w:tcW w:type="dxa" w:w="697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جهة تعالج البيانات لصالح الجمعية وبناءً على تعليماتها.</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حادثة تسرب</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كشف أو وصول أو فقد أو تلف أو تغيير أو معالجة غير مشروعة للبيانات الشخصية.</w:t>
            </w:r>
          </w:p>
        </w:tc>
      </w:tr>
    </w:tbl>
    <w:p>
      <w:pPr>
        <w:spacing w:after="20"/>
      </w:pPr>
    </w:p>
    <w:p>
      <w:pPr>
        <w:spacing w:before="180" w:after="100" w:line="281" w:lineRule="auto"/>
        <w:jc w:val="right"/>
        <w:keepNext/>
        <w:bidi/>
      </w:pPr>
      <w:r>
        <w:rPr>
          <w:rFonts w:ascii="Arial" w:hAnsi="Arial" w:cs="Arial"/>
          <w:b/>
          <w:color w:val="084C61"/>
          <w:sz w:val="30"/>
          <w:rtl/>
        </w:rPr>
        <w:t>2. المبادئ والمسؤولية</w:t>
      </w:r>
    </w:p>
    <w:p>
      <w:pPr>
        <w:pStyle w:val="ListBullet"/>
        <w:spacing w:after="60" w:line="276" w:lineRule="auto"/>
        <w:ind w:right="312"/>
        <w:jc w:val="right"/>
        <w:bidi/>
      </w:pPr>
      <w:r>
        <w:rPr>
          <w:rFonts w:ascii="Arial" w:hAnsi="Arial" w:cs="Arial"/>
          <w:b w:val="0"/>
          <w:sz w:val="20"/>
          <w:rtl/>
        </w:rPr>
        <w:t>المشروعية والعدالة والشفافية في كل مرحلة.</w:t>
      </w:r>
    </w:p>
    <w:p>
      <w:pPr>
        <w:pStyle w:val="ListBullet"/>
        <w:spacing w:after="60" w:line="276" w:lineRule="auto"/>
        <w:ind w:right="312"/>
        <w:jc w:val="right"/>
        <w:bidi/>
      </w:pPr>
      <w:r>
        <w:rPr>
          <w:rFonts w:ascii="Arial" w:hAnsi="Arial" w:cs="Arial"/>
          <w:b w:val="0"/>
          <w:sz w:val="20"/>
          <w:rtl/>
        </w:rPr>
        <w:t>تحديد غرض واضح ومحدد ومرتبط بأهداف الجمعية قبل الجمع.</w:t>
      </w:r>
    </w:p>
    <w:p>
      <w:pPr>
        <w:pStyle w:val="ListBullet"/>
        <w:spacing w:after="60" w:line="276" w:lineRule="auto"/>
        <w:ind w:right="312"/>
        <w:jc w:val="right"/>
        <w:bidi/>
      </w:pPr>
      <w:r>
        <w:rPr>
          <w:rFonts w:ascii="Arial" w:hAnsi="Arial" w:cs="Arial"/>
          <w:b w:val="0"/>
          <w:sz w:val="20"/>
          <w:rtl/>
        </w:rPr>
        <w:t>الاقتصار على الحد الأدنى من البيانات اللازمة للغرض.</w:t>
      </w:r>
    </w:p>
    <w:p>
      <w:pPr>
        <w:pStyle w:val="ListBullet"/>
        <w:spacing w:after="60" w:line="276" w:lineRule="auto"/>
        <w:ind w:right="312"/>
        <w:jc w:val="right"/>
        <w:bidi/>
      </w:pPr>
      <w:r>
        <w:rPr>
          <w:rFonts w:ascii="Arial" w:hAnsi="Arial" w:cs="Arial"/>
          <w:b w:val="0"/>
          <w:sz w:val="20"/>
          <w:rtl/>
        </w:rPr>
        <w:t>دقة البيانات وتحديثها عند الحاجة وإتاحة التصحيح.</w:t>
      </w:r>
    </w:p>
    <w:p>
      <w:pPr>
        <w:pStyle w:val="ListBullet"/>
        <w:spacing w:after="60" w:line="276" w:lineRule="auto"/>
        <w:ind w:right="312"/>
        <w:jc w:val="right"/>
        <w:bidi/>
      </w:pPr>
      <w:r>
        <w:rPr>
          <w:rFonts w:ascii="Arial" w:hAnsi="Arial" w:cs="Arial"/>
          <w:b w:val="0"/>
          <w:sz w:val="20"/>
          <w:rtl/>
        </w:rPr>
        <w:t>الاحتفاظ لمدة لازمة فقط ثم الإتلاف أو إخفاء الهوية بأمان.</w:t>
      </w:r>
    </w:p>
    <w:p>
      <w:pPr>
        <w:pStyle w:val="ListBullet"/>
        <w:spacing w:after="60" w:line="276" w:lineRule="auto"/>
        <w:ind w:right="312"/>
        <w:jc w:val="right"/>
        <w:bidi/>
      </w:pPr>
      <w:r>
        <w:rPr>
          <w:rFonts w:ascii="Arial" w:hAnsi="Arial" w:cs="Arial"/>
          <w:b w:val="0"/>
          <w:sz w:val="20"/>
          <w:rtl/>
        </w:rPr>
        <w:t>الأمن والسرية وتقييد الوصول وفق الحاجة الفعلية.</w:t>
      </w:r>
    </w:p>
    <w:p>
      <w:pPr>
        <w:pStyle w:val="ListBullet"/>
        <w:spacing w:after="60" w:line="276" w:lineRule="auto"/>
        <w:ind w:right="312"/>
        <w:jc w:val="right"/>
        <w:bidi/>
      </w:pPr>
      <w:r>
        <w:rPr>
          <w:rFonts w:ascii="Arial" w:hAnsi="Arial" w:cs="Arial"/>
          <w:b w:val="0"/>
          <w:sz w:val="20"/>
          <w:rtl/>
        </w:rPr>
        <w:t>إثبات الامتثال من خلال السجلات والتقييمات والعقود والتدريب والمراجعة.</w:t>
      </w:r>
    </w:p>
    <w:p>
      <w:pPr>
        <w:pStyle w:val="ListBullet"/>
        <w:spacing w:after="60" w:line="276" w:lineRule="auto"/>
        <w:ind w:right="312"/>
        <w:jc w:val="right"/>
        <w:bidi/>
      </w:pPr>
      <w:r>
        <w:rPr>
          <w:rFonts w:ascii="Arial" w:hAnsi="Arial" w:cs="Arial"/>
          <w:b w:val="0"/>
          <w:sz w:val="20"/>
          <w:rtl/>
        </w:rPr>
        <w:t>حماية الحقوق وعدم الانتقام من صاحب البيانات بسبب ممارستها.</w:t>
      </w:r>
    </w:p>
    <w:p>
      <w:pPr>
        <w:spacing w:before="120" w:after="100" w:line="281" w:lineRule="auto"/>
        <w:jc w:val="right"/>
        <w:keepNext/>
        <w:bidi/>
      </w:pPr>
      <w:r>
        <w:rPr>
          <w:rFonts w:ascii="Arial" w:hAnsi="Arial" w:cs="Arial"/>
          <w:b/>
          <w:color w:val="2F7D59"/>
          <w:sz w:val="25"/>
          <w:rtl/>
        </w:rPr>
        <w:t>المساءلة قبل بدء المعالجة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38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السؤال</w:t>
            </w:r>
          </w:p>
        </w:tc>
        <w:tc>
          <w:tcPr>
            <w:tcW w:type="dxa" w:w="697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الإجراء المطلوب</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ما الغرض؟</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توثيق غرض محدد ومشروع ومرتبط بنشاط الجمعية.</w:t>
            </w:r>
          </w:p>
        </w:tc>
      </w:tr>
      <w:tr>
        <w:tc>
          <w:tcPr>
            <w:tcW w:type="dxa" w:w="238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ما الأساس النظامي؟</w:t>
            </w:r>
          </w:p>
        </w:tc>
        <w:tc>
          <w:tcPr>
            <w:tcW w:type="dxa" w:w="697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تحديد أساس المعالجة قبل الجمع وعدم افتراض الموافقة دائمًا.</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ما الحد الأدنى؟</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حذف الحقول غير الضرورية وتبرير البيانات الحساسة.</w:t>
            </w:r>
          </w:p>
        </w:tc>
      </w:tr>
      <w:tr>
        <w:tc>
          <w:tcPr>
            <w:tcW w:type="dxa" w:w="238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من يطلع؟</w:t>
            </w:r>
          </w:p>
        </w:tc>
        <w:tc>
          <w:tcPr>
            <w:tcW w:type="dxa" w:w="697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تحديد الأدوار والصلاحيات والجهات المتلقية.</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كم مدة الحفظ؟</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ربط النشاط بجدول الحفظ والإتلاف.</w:t>
            </w:r>
          </w:p>
        </w:tc>
      </w:tr>
      <w:tr>
        <w:tc>
          <w:tcPr>
            <w:tcW w:type="dxa" w:w="238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ما المخاطر؟</w:t>
            </w:r>
          </w:p>
        </w:tc>
        <w:tc>
          <w:tcPr>
            <w:tcW w:type="dxa" w:w="697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إجراء تقييم أثر عند تحقق حالاته أو ارتفاع المخاطر.</w:t>
            </w:r>
          </w:p>
        </w:tc>
      </w:tr>
    </w:tbl>
    <w:p>
      <w:pPr>
        <w:spacing w:after="20"/>
      </w:pPr>
    </w:p>
    <w:p>
      <w:r>
        <w:br w:type="page"/>
      </w:r>
    </w:p>
    <w:p>
      <w:pPr>
        <w:spacing w:before="180" w:after="100" w:line="281" w:lineRule="auto"/>
        <w:jc w:val="right"/>
        <w:keepNext/>
        <w:bidi/>
      </w:pPr>
      <w:r>
        <w:rPr>
          <w:rFonts w:ascii="Arial" w:hAnsi="Arial" w:cs="Arial"/>
          <w:b/>
          <w:color w:val="084C61"/>
          <w:sz w:val="30"/>
          <w:rtl/>
        </w:rPr>
        <w:t>3. فئات البيانات وأصحابها</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94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الفئة</w:t>
            </w:r>
          </w:p>
        </w:tc>
        <w:tc>
          <w:tcPr>
            <w:tcW w:type="dxa" w:w="6406"/>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أمثلة البيانات</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المستفيدون والمتقدمون</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الهوية والتواصل والأهلية والخدمة والحضور والاعتراض، والبيانات الصحية عند ضرورة البرنامج.</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العاملون والمتقدمون للوظائف</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الهوية والمؤهلات والعقد والحضور والأداء والرواتب والمزايا.</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المتطوعون</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التسجيل والهوية والمهارات والفرص والساعات والتقييم والسلامة.</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الأعضاء ومجلس الإدارة واللجان</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العضوية والتواصل والإفصاحات ومحاضر الحضور والقرارات.</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المتبرعون والداعمون</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بيانات التواصل والتبرع والإيصالات والتفضيلات المسموح بها.</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الموردون والشركاء</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بيانات الممثلين والتواصل والعقود والمدفوعات والإفصاحات.</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زوار الموقع والمتواصلون</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بيانات النماذج والرسائل والسجلات التقنية وملفات الارتباط عند استخدامها.</w:t>
            </w:r>
          </w:p>
        </w:tc>
      </w:tr>
    </w:tbl>
    <w:p>
      <w:pPr>
        <w:spacing w:after="20"/>
      </w:pPr>
    </w:p>
    <w:p>
      <w:pPr>
        <w:spacing w:before="120" w:after="100" w:line="281" w:lineRule="auto"/>
        <w:jc w:val="right"/>
        <w:keepNext/>
        <w:bidi/>
      </w:pPr>
      <w:r>
        <w:rPr>
          <w:rFonts w:ascii="Arial" w:hAnsi="Arial" w:cs="Arial"/>
          <w:b/>
          <w:color w:val="2F7D59"/>
          <w:sz w:val="25"/>
          <w:rtl/>
        </w:rPr>
        <w:t>البيانات الحساسة وبيانات القاصرين</w:t>
      </w:r>
    </w:p>
    <w:p>
      <w:pPr>
        <w:pStyle w:val="ListBullet"/>
        <w:spacing w:after="60" w:line="276" w:lineRule="auto"/>
        <w:ind w:right="312"/>
        <w:jc w:val="right"/>
        <w:bidi/>
      </w:pPr>
      <w:r>
        <w:rPr>
          <w:rFonts w:ascii="Arial" w:hAnsi="Arial" w:cs="Arial"/>
          <w:b w:val="0"/>
          <w:sz w:val="20"/>
          <w:rtl/>
        </w:rPr>
        <w:t>لا تجمع البيانات الصحية أو الحساسة إلا لضرورة مرتبطة بالغرض وبأساس نظامي وضوابط مشددة.</w:t>
      </w:r>
    </w:p>
    <w:p>
      <w:pPr>
        <w:pStyle w:val="ListBullet"/>
        <w:spacing w:after="60" w:line="276" w:lineRule="auto"/>
        <w:ind w:right="312"/>
        <w:jc w:val="right"/>
        <w:bidi/>
      </w:pPr>
      <w:r>
        <w:rPr>
          <w:rFonts w:ascii="Arial" w:hAnsi="Arial" w:cs="Arial"/>
          <w:b w:val="0"/>
          <w:sz w:val="20"/>
          <w:rtl/>
        </w:rPr>
        <w:t>تراعى متطلبات الولي أو الممثل النظامي عند معالجة بيانات القاصر أو ناقص الأهلية بحسب الحالة والنظام.</w:t>
      </w:r>
    </w:p>
    <w:p>
      <w:pPr>
        <w:pStyle w:val="ListBullet"/>
        <w:spacing w:after="60" w:line="276" w:lineRule="auto"/>
        <w:ind w:right="312"/>
        <w:jc w:val="right"/>
        <w:bidi/>
      </w:pPr>
      <w:r>
        <w:rPr>
          <w:rFonts w:ascii="Arial" w:hAnsi="Arial" w:cs="Arial"/>
          <w:b w:val="0"/>
          <w:sz w:val="20"/>
          <w:rtl/>
        </w:rPr>
        <w:t>تفصل البيانات الحساسة عن البيانات العامة متى أمكن، ويقصر الوصول عليها على الأدوار المختصة.</w:t>
      </w:r>
    </w:p>
    <w:p>
      <w:pPr>
        <w:pStyle w:val="ListBullet"/>
        <w:spacing w:after="60" w:line="276" w:lineRule="auto"/>
        <w:ind w:right="312"/>
        <w:jc w:val="right"/>
        <w:bidi/>
      </w:pPr>
      <w:r>
        <w:rPr>
          <w:rFonts w:ascii="Arial" w:hAnsi="Arial" w:cs="Arial"/>
          <w:b w:val="0"/>
          <w:sz w:val="20"/>
          <w:rtl/>
        </w:rPr>
        <w:t>لا تستخدم البيانات الحساسة في التسويق أو النشر أو التصنيف غير الضروري.</w:t>
      </w:r>
    </w:p>
    <w:p>
      <w:pPr>
        <w:spacing w:before="180" w:after="100" w:line="281" w:lineRule="auto"/>
        <w:jc w:val="right"/>
        <w:keepNext/>
        <w:bidi/>
      </w:pPr>
      <w:r>
        <w:rPr>
          <w:rFonts w:ascii="Arial" w:hAnsi="Arial" w:cs="Arial"/>
          <w:b/>
          <w:color w:val="084C61"/>
          <w:sz w:val="30"/>
          <w:rtl/>
        </w:rPr>
        <w:t>4. أغراض المعالجة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89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الغرض</w:t>
            </w:r>
          </w:p>
        </w:tc>
        <w:tc>
          <w:tcPr>
            <w:tcW w:type="dxa" w:w="646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أمثلة الاستخدام</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تقديم الخدمات والبرامج</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التسجيل، التحقق، التواصل، الحضور، التقييم، الشهادات، المتابعة.</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إدارة العضوية والحوكمة</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السجلات النظامية والاجتماعات والانتخابات والإفصاحات والقرارات.</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الموارد البشرية والتطوع</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التوظيف والعقود والأجور والأداء والفرص والتدريب والسلامة.</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المالية والتبرعات والمشتريات</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الإيصالات والقيود والمدفوعات والتعاقد والامتثال المالي.</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الجودة والقياس</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الرضا والشكاوى والتحسين والتقارير المجمعة وإخفاء الهوية.</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الأمن والامتثال</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التحقق والسجلات والتدقيق ومنع الاحتيال والاستجابة للحوادث والطلبات النظامية.</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التواصل والتوعية</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إرسال معلومات الخدمة أو المحتوى التوعوي وفق الأساس النظامي وخيارات الإلغاء.</w:t>
            </w:r>
          </w:p>
        </w:tc>
      </w:tr>
    </w:tbl>
    <w:p>
      <w:pPr>
        <w:spacing w:after="20"/>
      </w:pPr>
    </w:p>
    <w:p>
      <w:r>
        <w:br w:type="page"/>
      </w:r>
    </w:p>
    <w:p>
      <w:pPr>
        <w:spacing w:before="180" w:after="100" w:line="281" w:lineRule="auto"/>
        <w:jc w:val="right"/>
        <w:keepNext/>
        <w:bidi/>
      </w:pPr>
      <w:r>
        <w:rPr>
          <w:rFonts w:ascii="Arial" w:hAnsi="Arial" w:cs="Arial"/>
          <w:b/>
          <w:color w:val="084C61"/>
          <w:sz w:val="30"/>
          <w:rtl/>
        </w:rPr>
        <w:t>5. الأسس النظامية للمعالجة</w:t>
      </w:r>
    </w:p>
    <w:p>
      <w:pPr>
        <w:spacing w:before="0" w:after="100" w:line="281" w:lineRule="auto"/>
        <w:jc w:val="right"/>
        <w:keepNext w:val="0"/>
        <w:bidi/>
      </w:pPr>
      <w:r>
        <w:rPr>
          <w:rFonts w:ascii="Arial" w:hAnsi="Arial" w:cs="Arial"/>
          <w:b w:val="0"/>
          <w:sz w:val="20"/>
          <w:rtl/>
        </w:rPr>
        <w:t>تحدد الجمعية الأساس النظامي لكل نشاط في سجل أنشطة المعالجة قبل البدء، ولا تستخدم الموافقة إذا كان أساس آخر هو الأنسب أو إذا تعذر منحها بحرية.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835"/>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الأساس</w:t>
            </w:r>
          </w:p>
        </w:tc>
        <w:tc>
          <w:tcPr>
            <w:tcW w:type="dxa" w:w="652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ضابط الاستخدام</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الموافقة</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تكون واضحة ومحددة وموثقة وقابلة للسحب دون أثر رجعي على المعالجة المشروعة السابقة.</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تنفيذ اتفاق أو طلب</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المعالجة اللازمة لتقديم خدمة أو تنفيذ عقد أو اتخاذ خطوات بناء على طلب صاحب البيانات.</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التزام نظامي</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البيانات اللازمة للامتثال للأنظمة والجهات المختصة والسجلات المطلوبة.</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مصلحة حيوية</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عند الضرورة لحماية حياة أو سلامة صاحب البيانات أو شخص آخر وفق الضوابط.</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مصلحة متحققة وفق النظام</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تقيم وتوثق المصلحة والتناسب والآثار، ولا تستخدم بما يخالف حقوق صاحب البيانات أو الحالات المستثناة نظامًا.</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أساس آخر مقرر نظامًا</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يوثق النص أو الضابط المنطبق قبل المعالجة.</w:t>
            </w:r>
          </w:p>
        </w:tc>
      </w:tr>
    </w:tbl>
    <w:p>
      <w:pPr>
        <w:spacing w:after="20"/>
      </w:pPr>
    </w:p>
    <w:p>
      <w:pPr>
        <w:spacing w:before="120" w:after="100" w:line="281" w:lineRule="auto"/>
        <w:jc w:val="right"/>
        <w:keepNext/>
        <w:bidi/>
      </w:pPr>
      <w:r>
        <w:rPr>
          <w:rFonts w:ascii="Arial" w:hAnsi="Arial" w:cs="Arial"/>
          <w:b/>
          <w:color w:val="2F7D59"/>
          <w:sz w:val="25"/>
          <w:rtl/>
        </w:rPr>
        <w:t>إدارة الموافقة</w:t>
      </w:r>
    </w:p>
    <w:p>
      <w:pPr>
        <w:pStyle w:val="ListBullet"/>
        <w:spacing w:after="60" w:line="276" w:lineRule="auto"/>
        <w:ind w:right="312"/>
        <w:jc w:val="right"/>
        <w:bidi/>
      </w:pPr>
      <w:r>
        <w:rPr>
          <w:rFonts w:ascii="Arial" w:hAnsi="Arial" w:cs="Arial"/>
          <w:b w:val="0"/>
          <w:sz w:val="20"/>
          <w:rtl/>
        </w:rPr>
        <w:t>يفصل طلب الموافقة عن الشروط الأخرى ويستخدم لغة واضحة.</w:t>
      </w:r>
    </w:p>
    <w:p>
      <w:pPr>
        <w:pStyle w:val="ListBullet"/>
        <w:spacing w:after="60" w:line="276" w:lineRule="auto"/>
        <w:ind w:right="312"/>
        <w:jc w:val="right"/>
        <w:bidi/>
      </w:pPr>
      <w:r>
        <w:rPr>
          <w:rFonts w:ascii="Arial" w:hAnsi="Arial" w:cs="Arial"/>
          <w:b w:val="0"/>
          <w:sz w:val="20"/>
          <w:rtl/>
        </w:rPr>
        <w:t>لا تربط خدمة أساسية بموافقة على غرض غير لازم لها.</w:t>
      </w:r>
    </w:p>
    <w:p>
      <w:pPr>
        <w:pStyle w:val="ListBullet"/>
        <w:spacing w:after="60" w:line="276" w:lineRule="auto"/>
        <w:ind w:right="312"/>
        <w:jc w:val="right"/>
        <w:bidi/>
      </w:pPr>
      <w:r>
        <w:rPr>
          <w:rFonts w:ascii="Arial" w:hAnsi="Arial" w:cs="Arial"/>
          <w:b w:val="0"/>
          <w:sz w:val="20"/>
          <w:rtl/>
        </w:rPr>
        <w:t>يحفظ دليل الموافقة ونصها وتاريخها ووسيلتها، وتتاح آلية سحب سهلة.</w:t>
      </w:r>
    </w:p>
    <w:p>
      <w:pPr>
        <w:pStyle w:val="ListBullet"/>
        <w:spacing w:after="60" w:line="276" w:lineRule="auto"/>
        <w:ind w:right="312"/>
        <w:jc w:val="right"/>
        <w:bidi/>
      </w:pPr>
      <w:r>
        <w:rPr>
          <w:rFonts w:ascii="Arial" w:hAnsi="Arial" w:cs="Arial"/>
          <w:b w:val="0"/>
          <w:sz w:val="20"/>
          <w:rtl/>
        </w:rPr>
        <w:t>عند سحب الموافقة توقف المعالجة المعتمدة عليها ما لم يوجد أساس نظامي مستقل يوثق ويبلغ لصاحب البيانات عند اللزوم.</w:t>
      </w:r>
    </w:p>
    <w:p>
      <w:pPr>
        <w:spacing w:before="180" w:after="100" w:line="281" w:lineRule="auto"/>
        <w:jc w:val="right"/>
        <w:keepNext/>
        <w:bidi/>
      </w:pPr>
      <w:r>
        <w:rPr>
          <w:rFonts w:ascii="Arial" w:hAnsi="Arial" w:cs="Arial"/>
          <w:b/>
          <w:color w:val="084C61"/>
          <w:sz w:val="30"/>
          <w:rtl/>
        </w:rPr>
        <w:t>6. الجمع والشفافية</w:t>
      </w:r>
    </w:p>
    <w:p>
      <w:pPr>
        <w:pStyle w:val="ListBullet"/>
        <w:spacing w:after="60" w:line="276" w:lineRule="auto"/>
        <w:ind w:right="312"/>
        <w:jc w:val="right"/>
        <w:bidi/>
      </w:pPr>
      <w:r>
        <w:rPr>
          <w:rFonts w:ascii="Arial" w:hAnsi="Arial" w:cs="Arial"/>
          <w:b w:val="0"/>
          <w:sz w:val="20"/>
          <w:rtl/>
        </w:rPr>
        <w:t>يقدم إشعار الخصوصية قبل الجمع أو عنده، ويكون ظاهرًا ومناسبًا للقناة والفئة.</w:t>
      </w:r>
    </w:p>
    <w:p>
      <w:pPr>
        <w:pStyle w:val="ListBullet"/>
        <w:spacing w:after="60" w:line="276" w:lineRule="auto"/>
        <w:ind w:right="312"/>
        <w:jc w:val="right"/>
        <w:bidi/>
      </w:pPr>
      <w:r>
        <w:rPr>
          <w:rFonts w:ascii="Arial" w:hAnsi="Arial" w:cs="Arial"/>
          <w:b w:val="0"/>
          <w:sz w:val="20"/>
          <w:rtl/>
        </w:rPr>
        <w:t>إذا جمعت البيانات من غير صاحبها، يطبق الإشعار والضوابط والاستثناءات النظامية ذات الصلة.</w:t>
      </w:r>
    </w:p>
    <w:p>
      <w:pPr>
        <w:pStyle w:val="ListBullet"/>
        <w:spacing w:after="60" w:line="276" w:lineRule="auto"/>
        <w:ind w:right="312"/>
        <w:jc w:val="right"/>
        <w:bidi/>
      </w:pPr>
      <w:r>
        <w:rPr>
          <w:rFonts w:ascii="Arial" w:hAnsi="Arial" w:cs="Arial"/>
          <w:b w:val="0"/>
          <w:sz w:val="20"/>
          <w:rtl/>
        </w:rPr>
        <w:t>لا تستخدم وسائل مضللة أو إجبارية، وتكون الحقول الإلزامية مميزة عن الاختيارية.</w:t>
      </w:r>
    </w:p>
    <w:p>
      <w:pPr>
        <w:pStyle w:val="ListBullet"/>
        <w:spacing w:after="60" w:line="276" w:lineRule="auto"/>
        <w:ind w:right="312"/>
        <w:jc w:val="right"/>
        <w:bidi/>
      </w:pPr>
      <w:r>
        <w:rPr>
          <w:rFonts w:ascii="Arial" w:hAnsi="Arial" w:cs="Arial"/>
          <w:b w:val="0"/>
          <w:sz w:val="20"/>
          <w:rtl/>
        </w:rPr>
        <w:t>توضح هوية الجمعية وأغراض الجمع وفئات البيانات والأساس النظامي والجهات المتلقية والحفظ والحقوق وقنوات التواصل.</w:t>
      </w:r>
    </w:p>
    <w:p>
      <w:pPr>
        <w:pStyle w:val="ListBullet"/>
        <w:spacing w:after="60" w:line="276" w:lineRule="auto"/>
        <w:ind w:right="312"/>
        <w:jc w:val="right"/>
        <w:bidi/>
      </w:pPr>
      <w:r>
        <w:rPr>
          <w:rFonts w:ascii="Arial" w:hAnsi="Arial" w:cs="Arial"/>
          <w:b w:val="0"/>
          <w:sz w:val="20"/>
          <w:rtl/>
        </w:rPr>
        <w:t>يحدث الإشعار عند تغير جوهري، ويبلغ صاحب البيانات قبل استخدام جديد غير متوقع متى لزم.</w:t>
      </w:r>
    </w:p>
    <w:p>
      <w:pPr>
        <w:spacing w:before="120" w:after="100" w:line="281" w:lineRule="auto"/>
        <w:jc w:val="right"/>
        <w:keepNext/>
        <w:bidi/>
      </w:pPr>
      <w:r>
        <w:rPr>
          <w:rFonts w:ascii="Arial" w:hAnsi="Arial" w:cs="Arial"/>
          <w:b/>
          <w:color w:val="2F7D59"/>
          <w:sz w:val="25"/>
          <w:rtl/>
        </w:rPr>
        <w:t>ملفات الارتباط والقنوات الرقمية</w:t>
      </w:r>
    </w:p>
    <w:p>
      <w:pPr>
        <w:spacing w:before="0" w:after="100" w:line="281" w:lineRule="auto"/>
        <w:jc w:val="right"/>
        <w:keepNext w:val="0"/>
        <w:bidi/>
      </w:pPr>
      <w:r>
        <w:rPr>
          <w:rFonts w:ascii="Arial" w:hAnsi="Arial" w:cs="Arial"/>
          <w:b w:val="0"/>
          <w:sz w:val="20"/>
          <w:rtl/>
        </w:rPr>
        <w:t>توضح الجمعية ملفات الارتباط أو تقنيات التتبع المستخدمة وأغراضها وخيارات إدارتها عند الانطباق، ولا تستخدم تقنيات غير ضرورية دون أساس مناسب وإعدادات تحترم الخصوصية.</w:t>
      </w:r>
    </w:p>
    <w:p>
      <w:pPr>
        <w:spacing w:before="180" w:after="100" w:line="281" w:lineRule="auto"/>
        <w:jc w:val="right"/>
        <w:keepNext/>
        <w:bidi/>
      </w:pPr>
      <w:r>
        <w:rPr>
          <w:rFonts w:ascii="Arial" w:hAnsi="Arial" w:cs="Arial"/>
          <w:b/>
          <w:color w:val="084C61"/>
          <w:sz w:val="30"/>
          <w:rtl/>
        </w:rPr>
        <w:t>7. جودة البيانات والحد الأدنى</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494"/>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المرحلة</w:t>
            </w:r>
          </w:p>
        </w:tc>
        <w:tc>
          <w:tcPr>
            <w:tcW w:type="dxa" w:w="686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الضابط</w:t>
            </w:r>
          </w:p>
        </w:tc>
      </w:tr>
      <w:tr>
        <w:tc>
          <w:tcPr>
            <w:tcW w:type="dxa" w:w="2494"/>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تصميم النموذج</w:t>
            </w:r>
          </w:p>
        </w:tc>
        <w:tc>
          <w:tcPr>
            <w:tcW w:type="dxa" w:w="686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ربط كل حقل بغرض، وحذف الحقول الاحتياطية أو غير المبررة.</w:t>
            </w:r>
          </w:p>
        </w:tc>
      </w:tr>
      <w:tr>
        <w:tc>
          <w:tcPr>
            <w:tcW w:type="dxa" w:w="249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التحقق</w:t>
            </w:r>
          </w:p>
        </w:tc>
        <w:tc>
          <w:tcPr>
            <w:tcW w:type="dxa" w:w="686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استخدام وسائل متناسبة وتجنب نسخ الوثيقة كاملة إذا تكفي نتيجة التحقق.</w:t>
            </w:r>
          </w:p>
        </w:tc>
      </w:tr>
      <w:tr>
        <w:tc>
          <w:tcPr>
            <w:tcW w:type="dxa" w:w="2494"/>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التحديث</w:t>
            </w:r>
          </w:p>
        </w:tc>
        <w:tc>
          <w:tcPr>
            <w:tcW w:type="dxa" w:w="686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تمكين الوحدات وصاحب البيانات من تصحيح المعلومات غير الدقيقة.</w:t>
            </w:r>
          </w:p>
        </w:tc>
      </w:tr>
      <w:tr>
        <w:tc>
          <w:tcPr>
            <w:tcW w:type="dxa" w:w="249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إعادة الاستخدام</w:t>
            </w:r>
          </w:p>
        </w:tc>
        <w:tc>
          <w:tcPr>
            <w:tcW w:type="dxa" w:w="686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فحص توافق الغرض الجديد والأساس والإشعار قبل الاستخدام.</w:t>
            </w:r>
          </w:p>
        </w:tc>
      </w:tr>
      <w:tr>
        <w:tc>
          <w:tcPr>
            <w:tcW w:type="dxa" w:w="2494"/>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التقارير</w:t>
            </w:r>
          </w:p>
        </w:tc>
        <w:tc>
          <w:tcPr>
            <w:tcW w:type="dxa" w:w="686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التجميع أو إخفاء الهوية عند عدم الحاجة للهوية الفردية.</w:t>
            </w:r>
          </w:p>
        </w:tc>
      </w:tr>
      <w:tr>
        <w:tc>
          <w:tcPr>
            <w:tcW w:type="dxa" w:w="249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المراجعة</w:t>
            </w:r>
          </w:p>
        </w:tc>
        <w:tc>
          <w:tcPr>
            <w:tcW w:type="dxa" w:w="686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مراجعة دورية للبيانات وحذف الزائد والمنتهي الغرض.</w:t>
            </w:r>
          </w:p>
        </w:tc>
      </w:tr>
    </w:tbl>
    <w:p>
      <w:pPr>
        <w:spacing w:after="20"/>
      </w:pPr>
    </w:p>
    <w:p>
      <w:r>
        <w:br w:type="page"/>
      </w:r>
    </w:p>
    <w:p>
      <w:pPr>
        <w:spacing w:before="180" w:after="100" w:line="281" w:lineRule="auto"/>
        <w:jc w:val="right"/>
        <w:keepNext/>
        <w:bidi/>
      </w:pPr>
      <w:r>
        <w:rPr>
          <w:rFonts w:ascii="Arial" w:hAnsi="Arial" w:cs="Arial"/>
          <w:b/>
          <w:color w:val="084C61"/>
          <w:sz w:val="30"/>
          <w:rtl/>
        </w:rPr>
        <w:t>8. حقوق صاحب البيانات</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3005"/>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الحق</w:t>
            </w:r>
          </w:p>
        </w:tc>
        <w:tc>
          <w:tcPr>
            <w:tcW w:type="dxa" w:w="635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التطبيق</w:t>
            </w:r>
          </w:p>
        </w:tc>
      </w:tr>
      <w:tr>
        <w:tc>
          <w:tcPr>
            <w:tcW w:type="dxa" w:w="3005"/>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العلم</w:t>
            </w:r>
          </w:p>
        </w:tc>
        <w:tc>
          <w:tcPr>
            <w:tcW w:type="dxa" w:w="635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معرفة المسوغ والغرض والمحتوى وطريقة الجمع والحفظ والمعالجة والإفصاح.</w:t>
            </w:r>
          </w:p>
        </w:tc>
      </w:tr>
      <w:tr>
        <w:tc>
          <w:tcPr>
            <w:tcW w:type="dxa" w:w="300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الوصول</w:t>
            </w:r>
          </w:p>
        </w:tc>
        <w:tc>
          <w:tcPr>
            <w:tcW w:type="dxa" w:w="635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طلب الوصول إلى بياناته وفق الضوابط والاستثناءات النظامية.</w:t>
            </w:r>
          </w:p>
        </w:tc>
      </w:tr>
      <w:tr>
        <w:tc>
          <w:tcPr>
            <w:tcW w:type="dxa" w:w="3005"/>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الحصول على نسخة</w:t>
            </w:r>
          </w:p>
        </w:tc>
        <w:tc>
          <w:tcPr>
            <w:tcW w:type="dxa" w:w="635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الحصول على نسخة واضحة ومقروءة بالوسيلة المقررة نظامًا.</w:t>
            </w:r>
          </w:p>
        </w:tc>
      </w:tr>
      <w:tr>
        <w:tc>
          <w:tcPr>
            <w:tcW w:type="dxa" w:w="300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التصحيح أو الإكمال أو التحديث</w:t>
            </w:r>
          </w:p>
        </w:tc>
        <w:tc>
          <w:tcPr>
            <w:tcW w:type="dxa" w:w="635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تصحيح البيانات غير الدقيقة أو استكمالها وتحديثها مع إخطار الجهات عند اللزوم.</w:t>
            </w:r>
          </w:p>
        </w:tc>
      </w:tr>
      <w:tr>
        <w:tc>
          <w:tcPr>
            <w:tcW w:type="dxa" w:w="3005"/>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الإتلاف</w:t>
            </w:r>
          </w:p>
        </w:tc>
        <w:tc>
          <w:tcPr>
            <w:tcW w:type="dxa" w:w="635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طلب إتلاف البيانات عند تحقق الشروط، مع مراعاة الحفظ النظامي والنزاع والالتزامات.</w:t>
            </w:r>
          </w:p>
        </w:tc>
      </w:tr>
      <w:tr>
        <w:tc>
          <w:tcPr>
            <w:tcW w:type="dxa" w:w="300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سحب الموافقة</w:t>
            </w:r>
          </w:p>
        </w:tc>
        <w:tc>
          <w:tcPr>
            <w:tcW w:type="dxa" w:w="635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سحبها للمعالجة المبنية عليها عبر وسيلة سهلة.</w:t>
            </w:r>
          </w:p>
        </w:tc>
      </w:tr>
      <w:tr>
        <w:tc>
          <w:tcPr>
            <w:tcW w:type="dxa" w:w="3005"/>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الشكوى</w:t>
            </w:r>
          </w:p>
        </w:tc>
        <w:tc>
          <w:tcPr>
            <w:tcW w:type="dxa" w:w="635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تقديم شكوى للجمعية ثم الجهة المختصة وفق المسارات النظامية.</w:t>
            </w:r>
          </w:p>
        </w:tc>
      </w:tr>
    </w:tbl>
    <w:p>
      <w:pPr>
        <w:spacing w:after="20"/>
      </w:pPr>
    </w:p>
    <w:p>
      <w:pPr>
        <w:spacing w:before="120" w:after="100" w:line="281" w:lineRule="auto"/>
        <w:jc w:val="right"/>
        <w:keepNext/>
        <w:bidi/>
      </w:pPr>
      <w:r>
        <w:rPr>
          <w:rFonts w:ascii="Arial" w:hAnsi="Arial" w:cs="Arial"/>
          <w:b/>
          <w:color w:val="2F7D59"/>
          <w:sz w:val="25"/>
          <w:rtl/>
        </w:rPr>
        <w:t>إدارة طلبات الحقوق</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26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المرحلة</w:t>
            </w:r>
          </w:p>
        </w:tc>
        <w:tc>
          <w:tcPr>
            <w:tcW w:type="dxa" w:w="708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الإجراء</w:t>
            </w:r>
          </w:p>
        </w:tc>
      </w:tr>
      <w:tr>
        <w:tc>
          <w:tcPr>
            <w:tcW w:type="dxa" w:w="226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الاستقبال</w:t>
            </w:r>
          </w:p>
        </w:tc>
        <w:tc>
          <w:tcPr>
            <w:tcW w:type="dxa" w:w="708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تسجيل الطلب وتأكيد استلامه ومنحه رقمًا مرجعيًا.</w:t>
            </w:r>
          </w:p>
        </w:tc>
      </w:tr>
      <w:tr>
        <w:tc>
          <w:tcPr>
            <w:tcW w:type="dxa" w:w="226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التحقق</w:t>
            </w:r>
          </w:p>
        </w:tc>
        <w:tc>
          <w:tcPr>
            <w:tcW w:type="dxa" w:w="708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التحقق المتناسب من الهوية أو الصفة دون جمع زائد.</w:t>
            </w:r>
          </w:p>
        </w:tc>
      </w:tr>
      <w:tr>
        <w:tc>
          <w:tcPr>
            <w:tcW w:type="dxa" w:w="226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التقييم</w:t>
            </w:r>
          </w:p>
        </w:tc>
        <w:tc>
          <w:tcPr>
            <w:tcW w:type="dxa" w:w="708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تحديد نطاق البيانات والاستثناءات والأطراف والأنظمة ذات العلاقة.</w:t>
            </w:r>
          </w:p>
        </w:tc>
      </w:tr>
      <w:tr>
        <w:tc>
          <w:tcPr>
            <w:tcW w:type="dxa" w:w="226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الاستجابة</w:t>
            </w:r>
          </w:p>
        </w:tc>
        <w:tc>
          <w:tcPr>
            <w:tcW w:type="dxa" w:w="708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تنفيذ الطلب أو توضيح سبب عدم التنفيذ كليًا أو جزئيًا ضمن المدة النظامية.</w:t>
            </w:r>
          </w:p>
        </w:tc>
      </w:tr>
      <w:tr>
        <w:tc>
          <w:tcPr>
            <w:tcW w:type="dxa" w:w="226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التوثيق</w:t>
            </w:r>
          </w:p>
        </w:tc>
        <w:tc>
          <w:tcPr>
            <w:tcW w:type="dxa" w:w="708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حفظ الطلب والقرار والإجراءات والمراسلات وسجل الإفصاح.</w:t>
            </w:r>
          </w:p>
        </w:tc>
      </w:tr>
    </w:tbl>
    <w:p>
      <w:pPr>
        <w:spacing w:after="20"/>
      </w:pPr>
    </w:p>
    <w:p>
      <w:pPr>
        <w:spacing w:before="180" w:after="100" w:line="281" w:lineRule="auto"/>
        <w:jc w:val="right"/>
        <w:keepNext/>
        <w:bidi/>
      </w:pPr>
      <w:r>
        <w:rPr>
          <w:rFonts w:ascii="Arial" w:hAnsi="Arial" w:cs="Arial"/>
          <w:b/>
          <w:color w:val="084C61"/>
          <w:sz w:val="30"/>
          <w:rtl/>
        </w:rPr>
        <w:t>9. الإفصاح والمشاركة والنقل</w:t>
      </w:r>
    </w:p>
    <w:p>
      <w:pPr>
        <w:pStyle w:val="ListBullet"/>
        <w:spacing w:after="60" w:line="276" w:lineRule="auto"/>
        <w:ind w:right="312"/>
        <w:jc w:val="right"/>
        <w:bidi/>
      </w:pPr>
      <w:r>
        <w:rPr>
          <w:rFonts w:ascii="Arial" w:hAnsi="Arial" w:cs="Arial"/>
          <w:b w:val="0"/>
          <w:sz w:val="20"/>
          <w:rtl/>
        </w:rPr>
        <w:t>لا يفصح عن البيانات إلا لغرض وأساس نظامي وبالحد الأدنى اللازم.</w:t>
      </w:r>
    </w:p>
    <w:p>
      <w:pPr>
        <w:pStyle w:val="ListBullet"/>
        <w:spacing w:after="60" w:line="276" w:lineRule="auto"/>
        <w:ind w:right="312"/>
        <w:jc w:val="right"/>
        <w:bidi/>
      </w:pPr>
      <w:r>
        <w:rPr>
          <w:rFonts w:ascii="Arial" w:hAnsi="Arial" w:cs="Arial"/>
          <w:b w:val="0"/>
          <w:sz w:val="20"/>
          <w:rtl/>
        </w:rPr>
        <w:t>تتحقق هوية الجهة الطالبة وصلاحيتها، ويوثق الإفصاح ومحتواه وتاريخه ومسؤوله.</w:t>
      </w:r>
    </w:p>
    <w:p>
      <w:pPr>
        <w:pStyle w:val="ListBullet"/>
        <w:spacing w:after="60" w:line="276" w:lineRule="auto"/>
        <w:ind w:right="312"/>
        <w:jc w:val="right"/>
        <w:bidi/>
      </w:pPr>
      <w:r>
        <w:rPr>
          <w:rFonts w:ascii="Arial" w:hAnsi="Arial" w:cs="Arial"/>
          <w:b w:val="0"/>
          <w:sz w:val="20"/>
          <w:rtl/>
        </w:rPr>
        <w:t>تتضمن عقود المعالجين تعليمات المعالجة والسرية والأمن والحوادث والحذف أو الإعادة والتدقيق والمقاولين الفرعيين.</w:t>
      </w:r>
    </w:p>
    <w:p>
      <w:pPr>
        <w:pStyle w:val="ListBullet"/>
        <w:spacing w:after="60" w:line="276" w:lineRule="auto"/>
        <w:ind w:right="312"/>
        <w:jc w:val="right"/>
        <w:bidi/>
      </w:pPr>
      <w:r>
        <w:rPr>
          <w:rFonts w:ascii="Arial" w:hAnsi="Arial" w:cs="Arial"/>
          <w:b w:val="0"/>
          <w:sz w:val="20"/>
          <w:rtl/>
        </w:rPr>
        <w:t>لا يعد استخدام جهة معالجة نقلًا للمسؤولية؛ تبقى الجمعية مسؤولة عن اختيارها ومتابعتها.</w:t>
      </w:r>
    </w:p>
    <w:p>
      <w:pPr>
        <w:pStyle w:val="ListBullet"/>
        <w:spacing w:after="60" w:line="276" w:lineRule="auto"/>
        <w:ind w:right="312"/>
        <w:jc w:val="right"/>
        <w:bidi/>
      </w:pPr>
      <w:r>
        <w:rPr>
          <w:rFonts w:ascii="Arial" w:hAnsi="Arial" w:cs="Arial"/>
          <w:b w:val="0"/>
          <w:sz w:val="20"/>
          <w:rtl/>
        </w:rPr>
        <w:t>تطبق ضوابط نقل البيانات الشخصية خارج المملكة، بما فيها التقييم والضمانات والموافقات أو الاستثناءات النظامية عند الانطباق.</w:t>
      </w:r>
    </w:p>
    <w:p>
      <w:pPr>
        <w:pStyle w:val="ListBullet"/>
        <w:spacing w:after="60" w:line="276" w:lineRule="auto"/>
        <w:ind w:right="312"/>
        <w:jc w:val="right"/>
        <w:bidi/>
      </w:pPr>
      <w:r>
        <w:rPr>
          <w:rFonts w:ascii="Arial" w:hAnsi="Arial" w:cs="Arial"/>
          <w:b w:val="0"/>
          <w:sz w:val="20"/>
          <w:rtl/>
        </w:rPr>
        <w:t>لا تباع البيانات الشخصية ولا تستغل تجاريًا خارج أغراض الجمعية المشروعة.</w:t>
      </w:r>
    </w:p>
    <w:p>
      <w:pPr>
        <w:spacing w:before="120" w:after="100" w:line="281" w:lineRule="auto"/>
        <w:jc w:val="right"/>
        <w:keepNext/>
        <w:bidi/>
      </w:pPr>
      <w:r>
        <w:rPr>
          <w:rFonts w:ascii="Arial" w:hAnsi="Arial" w:cs="Arial"/>
          <w:b/>
          <w:color w:val="2F7D59"/>
          <w:sz w:val="25"/>
          <w:rtl/>
        </w:rPr>
        <w:t>العناية الواجبة للجهات المعالجة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494"/>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المجال</w:t>
            </w:r>
          </w:p>
        </w:tc>
        <w:tc>
          <w:tcPr>
            <w:tcW w:type="dxa" w:w="686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السؤال الرقابي</w:t>
            </w:r>
          </w:p>
        </w:tc>
      </w:tr>
      <w:tr>
        <w:tc>
          <w:tcPr>
            <w:tcW w:type="dxa" w:w="2494"/>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الغرض والتعليمات</w:t>
            </w:r>
          </w:p>
        </w:tc>
        <w:tc>
          <w:tcPr>
            <w:tcW w:type="dxa" w:w="686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هل المعالجة محصورة بتعليمات الجمعية المكتوبة؟</w:t>
            </w:r>
          </w:p>
        </w:tc>
      </w:tr>
      <w:tr>
        <w:tc>
          <w:tcPr>
            <w:tcW w:type="dxa" w:w="249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الأمن</w:t>
            </w:r>
          </w:p>
        </w:tc>
        <w:tc>
          <w:tcPr>
            <w:tcW w:type="dxa" w:w="686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هل توجد ضوابط مناسبة لطبيعة البيانات والمخاطر؟</w:t>
            </w:r>
          </w:p>
        </w:tc>
      </w:tr>
      <w:tr>
        <w:tc>
          <w:tcPr>
            <w:tcW w:type="dxa" w:w="2494"/>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الموقع والنقل</w:t>
            </w:r>
          </w:p>
        </w:tc>
        <w:tc>
          <w:tcPr>
            <w:tcW w:type="dxa" w:w="686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أين تعالج البيانات وهل يحدث نقل خارج المملكة؟</w:t>
            </w:r>
          </w:p>
        </w:tc>
      </w:tr>
      <w:tr>
        <w:tc>
          <w:tcPr>
            <w:tcW w:type="dxa" w:w="249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الحوادث</w:t>
            </w:r>
          </w:p>
        </w:tc>
        <w:tc>
          <w:tcPr>
            <w:tcW w:type="dxa" w:w="686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هل يلتزم المعالج بالإبلاغ الفوري وتقديم المعلومات والتعاون؟</w:t>
            </w:r>
          </w:p>
        </w:tc>
      </w:tr>
      <w:tr>
        <w:tc>
          <w:tcPr>
            <w:tcW w:type="dxa" w:w="2494"/>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الإتلاف</w:t>
            </w:r>
          </w:p>
        </w:tc>
        <w:tc>
          <w:tcPr>
            <w:tcW w:type="dxa" w:w="686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هل تعاد أو تتلف البيانات والنسخ عند انتهاء الخدمة؟</w:t>
            </w:r>
          </w:p>
        </w:tc>
      </w:tr>
      <w:tr>
        <w:tc>
          <w:tcPr>
            <w:tcW w:type="dxa" w:w="249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التدقيق</w:t>
            </w:r>
          </w:p>
        </w:tc>
        <w:tc>
          <w:tcPr>
            <w:tcW w:type="dxa" w:w="686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هل يتيح أدلة امتثال ومراجعة مناسبة؟</w:t>
            </w:r>
          </w:p>
        </w:tc>
      </w:tr>
    </w:tbl>
    <w:p>
      <w:pPr>
        <w:spacing w:after="20"/>
      </w:pPr>
    </w:p>
    <w:p>
      <w:r>
        <w:br w:type="page"/>
      </w:r>
    </w:p>
    <w:p>
      <w:pPr>
        <w:spacing w:before="180" w:after="100" w:line="281" w:lineRule="auto"/>
        <w:jc w:val="right"/>
        <w:keepNext/>
        <w:bidi/>
      </w:pPr>
      <w:r>
        <w:rPr>
          <w:rFonts w:ascii="Arial" w:hAnsi="Arial" w:cs="Arial"/>
          <w:b/>
          <w:color w:val="084C61"/>
          <w:sz w:val="30"/>
          <w:rtl/>
        </w:rPr>
        <w:t>10. الأمن وحوادث البيانات</w:t>
      </w:r>
    </w:p>
    <w:p>
      <w:pPr>
        <w:pStyle w:val="ListBullet"/>
        <w:spacing w:after="60" w:line="276" w:lineRule="auto"/>
        <w:ind w:right="312"/>
        <w:jc w:val="right"/>
        <w:bidi/>
      </w:pPr>
      <w:r>
        <w:rPr>
          <w:rFonts w:ascii="Arial" w:hAnsi="Arial" w:cs="Arial"/>
          <w:b w:val="0"/>
          <w:sz w:val="20"/>
          <w:rtl/>
        </w:rPr>
        <w:t>تطبيق ضوابط تنظيمية وتقنية ومادية متناسبة مع حساسية البيانات وحجمها ومخاطرها.</w:t>
      </w:r>
    </w:p>
    <w:p>
      <w:pPr>
        <w:pStyle w:val="ListBullet"/>
        <w:spacing w:after="60" w:line="276" w:lineRule="auto"/>
        <w:ind w:right="312"/>
        <w:jc w:val="right"/>
        <w:bidi/>
      </w:pPr>
      <w:r>
        <w:rPr>
          <w:rFonts w:ascii="Arial" w:hAnsi="Arial" w:cs="Arial"/>
          <w:b w:val="0"/>
          <w:sz w:val="20"/>
          <w:rtl/>
        </w:rPr>
        <w:t>إدارة الهوية والصلاحيات وفق أقل امتياز، والمراجعة الدورية وإلغاء الوصول عند انتهاء الحاجة.</w:t>
      </w:r>
    </w:p>
    <w:p>
      <w:pPr>
        <w:pStyle w:val="ListBullet"/>
        <w:spacing w:after="60" w:line="276" w:lineRule="auto"/>
        <w:ind w:right="312"/>
        <w:jc w:val="right"/>
        <w:bidi/>
      </w:pPr>
      <w:r>
        <w:rPr>
          <w:rFonts w:ascii="Arial" w:hAnsi="Arial" w:cs="Arial"/>
          <w:b w:val="0"/>
          <w:sz w:val="20"/>
          <w:rtl/>
        </w:rPr>
        <w:t>حماية الأجهزة والأنظمة والنسخ الاحتياطية والنقل والتخزين والتخلص الآمن.</w:t>
      </w:r>
    </w:p>
    <w:p>
      <w:pPr>
        <w:pStyle w:val="ListBullet"/>
        <w:spacing w:after="60" w:line="276" w:lineRule="auto"/>
        <w:ind w:right="312"/>
        <w:jc w:val="right"/>
        <w:bidi/>
      </w:pPr>
      <w:r>
        <w:rPr>
          <w:rFonts w:ascii="Arial" w:hAnsi="Arial" w:cs="Arial"/>
          <w:b w:val="0"/>
          <w:sz w:val="20"/>
          <w:rtl/>
        </w:rPr>
        <w:t>تسجيل الأحداث ومراقبتها واختبار الاستجابة والتعافي دون كشف سجلات حساسة لغير المخولين.</w:t>
      </w:r>
    </w:p>
    <w:p>
      <w:pPr>
        <w:pStyle w:val="ListBullet"/>
        <w:spacing w:after="60" w:line="276" w:lineRule="auto"/>
        <w:ind w:right="312"/>
        <w:jc w:val="right"/>
        <w:bidi/>
      </w:pPr>
      <w:r>
        <w:rPr>
          <w:rFonts w:ascii="Arial" w:hAnsi="Arial" w:cs="Arial"/>
          <w:b w:val="0"/>
          <w:sz w:val="20"/>
          <w:rtl/>
        </w:rPr>
        <w:t>تدريب العاملين والمتطوعين على السرية والتصيد والإبلاغ الفوري عن الحوادث.</w:t>
      </w:r>
    </w:p>
    <w:p>
      <w:pPr>
        <w:spacing w:before="120" w:after="100" w:line="281" w:lineRule="auto"/>
        <w:jc w:val="right"/>
        <w:keepNext/>
        <w:bidi/>
      </w:pPr>
      <w:r>
        <w:rPr>
          <w:rFonts w:ascii="Arial" w:hAnsi="Arial" w:cs="Arial"/>
          <w:b/>
          <w:color w:val="2F7D59"/>
          <w:sz w:val="25"/>
          <w:rtl/>
        </w:rPr>
        <w:t>الإبلاغ عن الحوادث</w:t>
      </w:r>
    </w:p>
    <w:p>
      <w:pPr>
        <w:spacing w:before="0" w:after="100" w:line="281" w:lineRule="auto"/>
        <w:jc w:val="right"/>
        <w:keepNext w:val="0"/>
        <w:bidi/>
      </w:pPr>
      <w:r>
        <w:rPr>
          <w:rFonts w:ascii="Arial" w:hAnsi="Arial" w:cs="Arial"/>
          <w:b w:val="0"/>
          <w:sz w:val="20"/>
          <w:rtl/>
        </w:rPr>
        <w:t>يبلغ أي شخص فورًا عن الاشتباه في فقد أو إرسال خاطئ أو وصول أو كشف أو تغيير أو تلف غير مشروع. تتولى جهة الاستجابة الاحتواء وحفظ الأدلة والتقييم والتصعيد، دون إخفاء الحادثة أو إجراء حذف يضر بالتحقيق.</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الجهة المستلمة</w:t>
            </w:r>
          </w:p>
        </w:tc>
        <w:tc>
          <w:tcPr>
            <w:tcW w:type="dxa" w:w="691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المدة والشرط</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الإدارة الداخلية</w:t>
            </w:r>
          </w:p>
        </w:tc>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فور العلم أو الاشتباه، عبر القناة الطارئة المعتمدة.</w:t>
            </w:r>
          </w:p>
        </w:tc>
      </w:tr>
      <w:tr>
        <w:tc>
          <w:tcPr>
            <w:tcW w:type="dxa" w:w="243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الجهة المختصة</w:t>
            </w:r>
          </w:p>
        </w:tc>
        <w:tc>
          <w:tcPr>
            <w:tcW w:type="dxa" w:w="69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خلال مدة لا تتجاوز 72 ساعة من وقت العلم إذا كان من شأن الحادثة الإضرار بالبيانات أو أصحابها أو التعارض مع حقوقهم أو مصالحهم.</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صاحب البيانات</w:t>
            </w:r>
          </w:p>
        </w:tc>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دون تأخير غير مبرر عند تحقق شرط الإشعار النظامي، مع وصف واضح للمخاطر والإجراءات والتواصل.</w:t>
            </w:r>
          </w:p>
        </w:tc>
      </w:tr>
    </w:tbl>
    <w:p>
      <w:pPr>
        <w:spacing w:after="20"/>
      </w:pPr>
    </w:p>
    <w:p>
      <w:pPr>
        <w:spacing w:before="180" w:after="100" w:line="281" w:lineRule="auto"/>
        <w:jc w:val="right"/>
        <w:keepNext/>
        <w:bidi/>
      </w:pPr>
      <w:r>
        <w:rPr>
          <w:rFonts w:ascii="Arial" w:hAnsi="Arial" w:cs="Arial"/>
          <w:b/>
          <w:color w:val="084C61"/>
          <w:sz w:val="30"/>
          <w:rtl/>
        </w:rPr>
        <w:t>11. الاحتفاظ والإتلاف</w:t>
      </w:r>
    </w:p>
    <w:p>
      <w:pPr>
        <w:pStyle w:val="ListBullet"/>
        <w:spacing w:after="60" w:line="276" w:lineRule="auto"/>
        <w:ind w:right="312"/>
        <w:jc w:val="right"/>
        <w:bidi/>
      </w:pPr>
      <w:r>
        <w:rPr>
          <w:rFonts w:ascii="Arial" w:hAnsi="Arial" w:cs="Arial"/>
          <w:b w:val="0"/>
          <w:sz w:val="20"/>
          <w:rtl/>
        </w:rPr>
        <w:t>يربط كل نشاط في سجل المعالجة بمدة حفظ وحدث بدء ومرجع نظامي أو تشغيلي.</w:t>
      </w:r>
    </w:p>
    <w:p>
      <w:pPr>
        <w:pStyle w:val="ListBullet"/>
        <w:spacing w:after="60" w:line="276" w:lineRule="auto"/>
        <w:ind w:right="312"/>
        <w:jc w:val="right"/>
        <w:bidi/>
      </w:pPr>
      <w:r>
        <w:rPr>
          <w:rFonts w:ascii="Arial" w:hAnsi="Arial" w:cs="Arial"/>
          <w:b w:val="0"/>
          <w:sz w:val="20"/>
          <w:rtl/>
        </w:rPr>
        <w:t>عند انتهاء الغرض والمدة تتلف البيانات أو تخفى هويتها بطريقة تمنع الاسترجاع، ما لم يلزم حفظها لنزاع أو تحقيق أو التزام نظامي.</w:t>
      </w:r>
    </w:p>
    <w:p>
      <w:pPr>
        <w:pStyle w:val="ListBullet"/>
        <w:spacing w:after="60" w:line="276" w:lineRule="auto"/>
        <w:ind w:right="312"/>
        <w:jc w:val="right"/>
        <w:bidi/>
      </w:pPr>
      <w:r>
        <w:rPr>
          <w:rFonts w:ascii="Arial" w:hAnsi="Arial" w:cs="Arial"/>
          <w:b w:val="0"/>
          <w:sz w:val="20"/>
          <w:rtl/>
        </w:rPr>
        <w:t>تعلق الإزالة عند أمر حفظ قانوني، ويقيد الاستخدام على سبب الحفظ فقط.</w:t>
      </w:r>
    </w:p>
    <w:p>
      <w:pPr>
        <w:pStyle w:val="ListBullet"/>
        <w:spacing w:after="60" w:line="276" w:lineRule="auto"/>
        <w:ind w:right="312"/>
        <w:jc w:val="right"/>
        <w:bidi/>
      </w:pPr>
      <w:r>
        <w:rPr>
          <w:rFonts w:ascii="Arial" w:hAnsi="Arial" w:cs="Arial"/>
          <w:b w:val="0"/>
          <w:sz w:val="20"/>
          <w:rtl/>
        </w:rPr>
        <w:t>يشمل الإتلاف النسخ الورقية والإلكترونية والنسخ المكررة لدى المعالجين، ويوثق بمحضر أو سجل.</w:t>
      </w:r>
    </w:p>
    <w:p>
      <w:pPr>
        <w:pStyle w:val="ListBullet"/>
        <w:spacing w:after="60" w:line="276" w:lineRule="auto"/>
        <w:ind w:right="312"/>
        <w:jc w:val="right"/>
        <w:bidi/>
      </w:pPr>
      <w:r>
        <w:rPr>
          <w:rFonts w:ascii="Arial" w:hAnsi="Arial" w:cs="Arial"/>
          <w:b w:val="0"/>
          <w:sz w:val="20"/>
          <w:rtl/>
        </w:rPr>
        <w:t>تراجع مدد الحفظ دوريًا بالتنسيق مع سياسة حفظ السجلات، ولا تستخدم عبارة الاحتفاظ الدائم دون مسوغ محدد.</w:t>
      </w:r>
    </w:p>
    <w:p>
      <w:pPr>
        <w:spacing w:before="120" w:after="100" w:line="281" w:lineRule="auto"/>
        <w:jc w:val="right"/>
        <w:keepNext/>
        <w:bidi/>
      </w:pPr>
      <w:r>
        <w:rPr>
          <w:rFonts w:ascii="Arial" w:hAnsi="Arial" w:cs="Arial"/>
          <w:b/>
          <w:color w:val="2F7D59"/>
          <w:sz w:val="25"/>
          <w:rtl/>
        </w:rPr>
        <w:t>إخفاء الهوية</w:t>
      </w:r>
    </w:p>
    <w:p>
      <w:pPr>
        <w:spacing w:before="0" w:after="100" w:line="281" w:lineRule="auto"/>
        <w:jc w:val="right"/>
        <w:keepNext w:val="0"/>
        <w:bidi/>
      </w:pPr>
      <w:r>
        <w:rPr>
          <w:rFonts w:ascii="Arial" w:hAnsi="Arial" w:cs="Arial"/>
          <w:b w:val="0"/>
          <w:sz w:val="20"/>
          <w:rtl/>
        </w:rPr>
        <w:t>يستخدم إخفاء الهوية عندما يكفي الغرض دون تحديد الأفراد، ويختبر خطر إعادة التعرف ويمنع الاحتفاظ بمفاتيح الربط أو مشاركتها دون ضرورة وضوابط.</w:t>
      </w:r>
    </w:p>
    <w:p>
      <w:pPr>
        <w:spacing w:before="180" w:after="100" w:line="281" w:lineRule="auto"/>
        <w:jc w:val="right"/>
        <w:keepNext/>
        <w:bidi/>
      </w:pPr>
      <w:r>
        <w:rPr>
          <w:rFonts w:ascii="Arial" w:hAnsi="Arial" w:cs="Arial"/>
          <w:b/>
          <w:color w:val="084C61"/>
          <w:sz w:val="30"/>
          <w:rtl/>
        </w:rPr>
        <w:t>12. المسؤوليات والمراجعة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3005"/>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5"/>
                <w:rtl/>
              </w:rPr>
              <w:t>الجهة</w:t>
            </w:r>
          </w:p>
        </w:tc>
        <w:tc>
          <w:tcPr>
            <w:tcW w:type="dxa" w:w="635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5"/>
                <w:rtl/>
              </w:rPr>
              <w:t>المسؤوليات</w:t>
            </w:r>
          </w:p>
        </w:tc>
      </w:tr>
      <w:tr>
        <w:tc>
          <w:tcPr>
            <w:tcW w:type="dxa" w:w="3005"/>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مجلس الإدارة</w:t>
            </w:r>
          </w:p>
        </w:tc>
        <w:tc>
          <w:tcPr>
            <w:tcW w:type="dxa" w:w="6350"/>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اعتماد السياسة والرقابة على المخاطر والامتثال والحوادث الجوهرية.</w:t>
            </w:r>
          </w:p>
        </w:tc>
      </w:tr>
      <w:tr>
        <w:tc>
          <w:tcPr>
            <w:tcW w:type="dxa" w:w="300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المدير التنفيذي</w:t>
            </w:r>
          </w:p>
        </w:tc>
        <w:tc>
          <w:tcPr>
            <w:tcW w:type="dxa" w:w="635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توفير الموارد واعتماد الإجراءات والإشراف على التنفيذ والتصعيد.</w:t>
            </w:r>
          </w:p>
        </w:tc>
      </w:tr>
      <w:tr>
        <w:tc>
          <w:tcPr>
            <w:tcW w:type="dxa" w:w="3005"/>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الحوكمة/الامتثال أو مسؤول الخصوصية المكلف</w:t>
            </w:r>
          </w:p>
        </w:tc>
        <w:tc>
          <w:tcPr>
            <w:tcW w:type="dxa" w:w="6350"/>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إدارة السجل والحقوق والتقييمات والعقود والتوعية والحوادث والتقارير، دون افتراض صفة مسؤول حماية البيانات النظامي.</w:t>
            </w:r>
          </w:p>
        </w:tc>
      </w:tr>
      <w:tr>
        <w:tc>
          <w:tcPr>
            <w:tcW w:type="dxa" w:w="300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تقنية المعلومات/الأمن السيبراني</w:t>
            </w:r>
          </w:p>
        </w:tc>
        <w:tc>
          <w:tcPr>
            <w:tcW w:type="dxa" w:w="635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الضوابط التقنية وإدارة الوصول والسجلات والنسخ والاستجابة الفنية.</w:t>
            </w:r>
          </w:p>
        </w:tc>
      </w:tr>
      <w:tr>
        <w:tc>
          <w:tcPr>
            <w:tcW w:type="dxa" w:w="3005"/>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مالكو العمليات</w:t>
            </w:r>
          </w:p>
        </w:tc>
        <w:tc>
          <w:tcPr>
            <w:tcW w:type="dxa" w:w="6350"/>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تحديد الغرض والبيانات والأساس والحفظ وتحديث سجل المعالجة.</w:t>
            </w:r>
          </w:p>
        </w:tc>
      </w:tr>
      <w:tr>
        <w:tc>
          <w:tcPr>
            <w:tcW w:type="dxa" w:w="300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الموارد البشرية والمشتريات</w:t>
            </w:r>
          </w:p>
        </w:tc>
        <w:tc>
          <w:tcPr>
            <w:tcW w:type="dxa" w:w="635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السرية والتدريب وإدراج متطلبات الخصوصية في العلاقات والعقود.</w:t>
            </w:r>
          </w:p>
        </w:tc>
      </w:tr>
      <w:tr>
        <w:tc>
          <w:tcPr>
            <w:tcW w:type="dxa" w:w="3005"/>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العاملون والمتطوعون والمتعاقدون</w:t>
            </w:r>
          </w:p>
        </w:tc>
        <w:tc>
          <w:tcPr>
            <w:tcW w:type="dxa" w:w="6350"/>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الالتزام بالتعليمات والسرية والإبلاغ الفوري وعدم استخدام البيانات لأغراض شخصية.</w:t>
            </w:r>
          </w:p>
        </w:tc>
      </w:tr>
    </w:tbl>
    <w:p>
      <w:pPr>
        <w:spacing w:after="20"/>
      </w:pPr>
    </w:p>
    <w:p>
      <w:pPr>
        <w:spacing w:before="120" w:after="100" w:line="281" w:lineRule="auto"/>
        <w:jc w:val="right"/>
        <w:keepNext/>
        <w:bidi/>
      </w:pPr>
      <w:r>
        <w:rPr>
          <w:rFonts w:ascii="Arial" w:hAnsi="Arial" w:cs="Arial"/>
          <w:b/>
          <w:color w:val="2F7D59"/>
          <w:sz w:val="25"/>
          <w:rtl/>
        </w:rPr>
        <w:t>التقييمات والمراجعة</w:t>
      </w:r>
    </w:p>
    <w:p>
      <w:pPr>
        <w:pStyle w:val="ListBullet"/>
        <w:spacing w:after="60" w:line="276" w:lineRule="auto"/>
        <w:ind w:right="312"/>
        <w:jc w:val="right"/>
        <w:bidi/>
      </w:pPr>
      <w:r>
        <w:rPr>
          <w:rFonts w:ascii="Arial" w:hAnsi="Arial" w:cs="Arial"/>
          <w:b w:val="0"/>
          <w:sz w:val="20"/>
          <w:rtl/>
        </w:rPr>
        <w:t>تنفيذ تقييم أثر على الخصوصية قبل المعالجة عالية المخاطر أو عند الحالات التي تحددها الأنظمة والضوابط.</w:t>
      </w:r>
    </w:p>
    <w:p>
      <w:pPr>
        <w:pStyle w:val="ListBullet"/>
        <w:spacing w:after="60" w:line="276" w:lineRule="auto"/>
        <w:ind w:right="312"/>
        <w:jc w:val="right"/>
        <w:bidi/>
      </w:pPr>
      <w:r>
        <w:rPr>
          <w:rFonts w:ascii="Arial" w:hAnsi="Arial" w:cs="Arial"/>
          <w:b w:val="0"/>
          <w:sz w:val="20"/>
          <w:rtl/>
        </w:rPr>
        <w:t>تقييم مدى إلزامية تعيين مسؤول حماية البيانات دوريًا وعند تغير المعالجة، وعدم افتراض التعيين دون نتيجة موثقة.</w:t>
      </w:r>
    </w:p>
    <w:p>
      <w:pPr>
        <w:pStyle w:val="ListBullet"/>
        <w:spacing w:after="60" w:line="276" w:lineRule="auto"/>
        <w:ind w:right="312"/>
        <w:jc w:val="right"/>
        <w:bidi/>
      </w:pPr>
      <w:r>
        <w:rPr>
          <w:rFonts w:ascii="Arial" w:hAnsi="Arial" w:cs="Arial"/>
          <w:b w:val="0"/>
          <w:sz w:val="20"/>
          <w:rtl/>
        </w:rPr>
        <w:t>مراجعة سجل أنشطة المعالجة والعقود والصلاحيات والحوادث والطلبات سنويًا على الأقل.</w:t>
      </w:r>
    </w:p>
    <w:p>
      <w:pPr>
        <w:pStyle w:val="ListBullet"/>
        <w:spacing w:after="60" w:line="276" w:lineRule="auto"/>
        <w:ind w:right="312"/>
        <w:jc w:val="right"/>
        <w:bidi/>
      </w:pPr>
      <w:r>
        <w:rPr>
          <w:rFonts w:ascii="Arial" w:hAnsi="Arial" w:cs="Arial"/>
          <w:b w:val="0"/>
          <w:sz w:val="20"/>
          <w:rtl/>
        </w:rPr>
        <w:t>تدخل السياسة حيز التنفيذ من تاريخ اعتمادها، وتحدث عند أي تغير جوهري أو نظامي.</w:t>
      </w:r>
    </w:p>
    <w:p>
      <w:r>
        <w:br w:type="page"/>
      </w:r>
    </w:p>
    <w:p>
      <w:pPr>
        <w:spacing w:before="180" w:after="100" w:line="281" w:lineRule="auto"/>
        <w:jc w:val="right"/>
        <w:keepNext/>
        <w:bidi/>
      </w:pPr>
      <w:r>
        <w:rPr>
          <w:rFonts w:ascii="Arial" w:hAnsi="Arial" w:cs="Arial"/>
          <w:b/>
          <w:color w:val="084C61"/>
          <w:sz w:val="30"/>
          <w:rtl/>
        </w:rPr>
        <w:t>13. إشعار الخصوصية العام - قابل للنشر</w:t>
      </w:r>
    </w:p>
    <w:p>
      <w:pPr>
        <w:spacing w:before="0" w:after="100" w:line="281" w:lineRule="auto"/>
        <w:jc w:val="right"/>
        <w:keepNext w:val="0"/>
        <w:bidi/>
      </w:pPr>
      <w:r>
        <w:rPr>
          <w:rFonts w:ascii="Arial" w:hAnsi="Arial" w:cs="Arial"/>
          <w:b w:val="0"/>
          <w:sz w:val="20"/>
          <w:rtl/>
        </w:rPr>
        <w:t>جمعية البلسم للتدريب والتطوير الصحي هي جهة التحكم في البيانات التي تجمعها عبر موقعها ونماذجها وبرامجها وقنواتها. يوضح هذا الإشعار كيف تستخدم الجمعية بياناتك وحقوقك بشأنها.</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العنصر</w:t>
            </w:r>
          </w:p>
        </w:tc>
        <w:tc>
          <w:tcPr>
            <w:tcW w:type="dxa" w:w="691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الإشعار</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البيانات التي نجمعها</w:t>
            </w:r>
          </w:p>
        </w:tc>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بيانات الهوية والتواصل والطلبات والخدمات والحضور والتبرعات والعقود والمراسلات، وقد نجمع بيانات صحية أو حساسة عند ضرورة البرنامج وبالضوابط النظامية.</w:t>
            </w:r>
          </w:p>
        </w:tc>
      </w:tr>
      <w:tr>
        <w:tc>
          <w:tcPr>
            <w:tcW w:type="dxa" w:w="243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كيف نجمعها</w:t>
            </w:r>
          </w:p>
        </w:tc>
        <w:tc>
          <w:tcPr>
            <w:tcW w:type="dxa" w:w="69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منك مباشرة عبر النماذج والتواصل والمشاركة في البرامج، أو من جهات مشروعة ومخولة عند الحاجة.</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لماذا نعالجها</w:t>
            </w:r>
          </w:p>
        </w:tc>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لتقديم الخدمات وإدارة البرامج والعضوية والتطوع والتبرعات والعقود والجودة والأمن والامتثال.</w:t>
            </w:r>
          </w:p>
        </w:tc>
      </w:tr>
      <w:tr>
        <w:tc>
          <w:tcPr>
            <w:tcW w:type="dxa" w:w="243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الأساس النظامي</w:t>
            </w:r>
          </w:p>
        </w:tc>
        <w:tc>
          <w:tcPr>
            <w:tcW w:type="dxa" w:w="69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بحسب النشاط: الموافقة، تنفيذ طلب أو اتفاق، التزام نظامي، مصلحة حيوية، أو أساس آخر يجيزه النظام.</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مع من نشاركها</w:t>
            </w:r>
          </w:p>
        </w:tc>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مقدمو الخدمات والمعالجون والشركاء والجهات المختصة بالحد الأدنى اللازم وبموجب ضوابط وعقود مناسبة.</w:t>
            </w:r>
          </w:p>
        </w:tc>
      </w:tr>
      <w:tr>
        <w:tc>
          <w:tcPr>
            <w:tcW w:type="dxa" w:w="243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النقل خارج المملكة</w:t>
            </w:r>
          </w:p>
        </w:tc>
        <w:tc>
          <w:tcPr>
            <w:tcW w:type="dxa" w:w="69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لا يتم إلا وفق متطلبات نظام حماية البيانات الشخصية وضوابط النقل النافذة.</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مدة الحفظ</w:t>
            </w:r>
          </w:p>
        </w:tc>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للمدة اللازمة للغرض أو المدة النظامية، ثم الإتلاف أو إخفاء الهوية بأمان.</w:t>
            </w:r>
          </w:p>
        </w:tc>
      </w:tr>
      <w:tr>
        <w:tc>
          <w:tcPr>
            <w:tcW w:type="dxa" w:w="243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حقوقك</w:t>
            </w:r>
          </w:p>
        </w:tc>
        <w:tc>
          <w:tcPr>
            <w:tcW w:type="dxa" w:w="69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العلم والوصول والحصول على نسخة والتصحيح والإكمال والتحديث والإتلاف وسحب الموافقة والشكوى، وفق الضوابط والاستثناءات النظامية.</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التواصل</w:t>
            </w:r>
          </w:p>
        </w:tc>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قناة الخصوصية: ........................................................  البريد: ........................................................</w:t>
            </w:r>
          </w:p>
        </w:tc>
      </w:tr>
    </w:tbl>
    <w:p>
      <w:pPr>
        <w:spacing w:after="20"/>
      </w:pPr>
    </w:p>
    <w:p>
      <w:pPr>
        <w:spacing w:before="180" w:after="100" w:line="281" w:lineRule="auto"/>
        <w:jc w:val="right"/>
        <w:keepNext/>
        <w:bidi/>
      </w:pPr>
      <w:r>
        <w:rPr>
          <w:rFonts w:ascii="Arial" w:hAnsi="Arial" w:cs="Arial"/>
          <w:b/>
          <w:color w:val="084C61"/>
          <w:sz w:val="30"/>
          <w:rtl/>
        </w:rPr>
        <w:t>14. سجل رقم PRIV-R01: سجل أنشطة معالجة البيانات</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89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5"/>
                <w:rtl/>
              </w:rPr>
              <w:t>الحقل</w:t>
            </w:r>
          </w:p>
        </w:tc>
        <w:tc>
          <w:tcPr>
            <w:tcW w:type="dxa" w:w="646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5"/>
                <w:rtl/>
              </w:rPr>
              <w:t>البيانات</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اسم النشاط ومالكه</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الفئات وأصحاب البيانات</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الغرض والأساس النظامي</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مصدر البيانات وطريقة الجمع</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البيانات الحساسة/القاصرين</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 لا   ☐ نعم - التفاصيل والضرورة: ........................................................</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الجهات المستلمة والمعالجون</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نقل خارج المملكة</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 لا   ☐ نعم - الدولة/الضمانات/المرجع: ................................................</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مدة الحفظ وحدث البدء</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الضوابط الأمنية والوصول</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تقييم أثر الخصوصية</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 غير مطلوب   ☐ مطلوب   ☐ مكتمل بتاريخ: ........................</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رابط إشعار الخصوصية</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تاريخ المراجعة التالية</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 / .... / ........</w:t>
            </w:r>
          </w:p>
        </w:tc>
      </w:tr>
    </w:tbl>
    <w:p>
      <w:pPr>
        <w:spacing w:after="20"/>
      </w:pPr>
    </w:p>
    <w:p>
      <w:pPr>
        <w:spacing w:before="120" w:after="100" w:line="281" w:lineRule="auto"/>
        <w:jc w:val="right"/>
        <w:keepNext/>
        <w:bidi/>
      </w:pPr>
      <w:r>
        <w:rPr>
          <w:rFonts w:ascii="Arial" w:hAnsi="Arial" w:cs="Arial"/>
          <w:b/>
          <w:color w:val="2F7D59"/>
          <w:sz w:val="25"/>
          <w:rtl/>
        </w:rPr>
        <w:t>قائمة الأنشطة</w:t>
      </w:r>
    </w:p>
    <w:tbl>
      <w:tblPr>
        <w:tblStyle w:val="TableGrid"/>
        <w:tblW w:type="auto" w:w="0"/>
        <w:jc w:val="center"/>
        <w:tblLayout w:type="fixed"/>
        <w:tblLook w:firstColumn="1" w:firstRow="1" w:lastColumn="0" w:lastRow="0" w:noHBand="0" w:noVBand="1" w:val="04A0"/>
        <w:bidiVisual/>
      </w:tblPr>
      <w:tblGrid>
        <w:gridCol w:w="1425"/>
        <w:gridCol w:w="1425"/>
        <w:gridCol w:w="1425"/>
        <w:gridCol w:w="1425"/>
        <w:gridCol w:w="1425"/>
        <w:gridCol w:w="1425"/>
        <w:gridCol w:w="1425"/>
      </w:tblGrid>
      <w:tr>
        <w:tc>
          <w:tcPr>
            <w:tcW w:type="dxa" w:w="454"/>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4"/>
                <w:rtl/>
              </w:rPr>
              <w:t>م</w:t>
            </w:r>
          </w:p>
        </w:tc>
        <w:tc>
          <w:tcPr>
            <w:tcW w:type="dxa" w:w="204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4"/>
                <w:rtl/>
              </w:rPr>
              <w:t>النشاط</w:t>
            </w:r>
          </w:p>
        </w:tc>
        <w:tc>
          <w:tcPr>
            <w:tcW w:type="dxa" w:w="1474"/>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4"/>
                <w:rtl/>
              </w:rPr>
              <w:t>مالك العملية</w:t>
            </w:r>
          </w:p>
        </w:tc>
        <w:tc>
          <w:tcPr>
            <w:tcW w:type="dxa" w:w="141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4"/>
                <w:rtl/>
              </w:rPr>
              <w:t>الأساس</w:t>
            </w:r>
          </w:p>
        </w:tc>
        <w:tc>
          <w:tcPr>
            <w:tcW w:type="dxa" w:w="1134"/>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4"/>
                <w:rtl/>
              </w:rPr>
              <w:t>الحفظ</w:t>
            </w:r>
          </w:p>
        </w:tc>
        <w:tc>
          <w:tcPr>
            <w:tcW w:type="dxa" w:w="170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4"/>
                <w:rtl/>
              </w:rPr>
              <w:t>المعالج/النقل</w:t>
            </w:r>
          </w:p>
        </w:tc>
        <w:tc>
          <w:tcPr>
            <w:tcW w:type="dxa" w:w="1134"/>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4"/>
                <w:rtl/>
              </w:rPr>
              <w:t>الحالة</w:t>
            </w:r>
          </w:p>
        </w:tc>
      </w:tr>
      <w:tr>
        <w:tc>
          <w:tcPr>
            <w:tcW w:type="dxa" w:w="45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2041"/>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7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701"/>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r>
      <w:tr>
        <w:tc>
          <w:tcPr>
            <w:tcW w:type="dxa" w:w="45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204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7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70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r>
      <w:tr>
        <w:tc>
          <w:tcPr>
            <w:tcW w:type="dxa" w:w="45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2041"/>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7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701"/>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r>
      <w:tr>
        <w:tc>
          <w:tcPr>
            <w:tcW w:type="dxa" w:w="45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204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7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70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r>
      <w:tr>
        <w:tc>
          <w:tcPr>
            <w:tcW w:type="dxa" w:w="45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2041"/>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7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701"/>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r>
      <w:tr>
        <w:tc>
          <w:tcPr>
            <w:tcW w:type="dxa" w:w="45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204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7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70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r>
      <w:tr>
        <w:tc>
          <w:tcPr>
            <w:tcW w:type="dxa" w:w="45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2041"/>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7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701"/>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r>
      <w:tr>
        <w:tc>
          <w:tcPr>
            <w:tcW w:type="dxa" w:w="45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204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7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70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r>
      <w:tr>
        <w:tc>
          <w:tcPr>
            <w:tcW w:type="dxa" w:w="45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2041"/>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7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701"/>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r>
      <w:tr>
        <w:tc>
          <w:tcPr>
            <w:tcW w:type="dxa" w:w="45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204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7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70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r>
    </w:tbl>
    <w:p>
      <w:pPr>
        <w:spacing w:after="20"/>
      </w:pPr>
    </w:p>
    <w:p>
      <w:r>
        <w:br w:type="page"/>
      </w:r>
    </w:p>
    <w:p>
      <w:pPr>
        <w:spacing w:before="180" w:after="100" w:line="281" w:lineRule="auto"/>
        <w:jc w:val="right"/>
        <w:keepNext/>
        <w:bidi/>
      </w:pPr>
      <w:r>
        <w:rPr>
          <w:rFonts w:ascii="Arial" w:hAnsi="Arial" w:cs="Arial"/>
          <w:b/>
          <w:color w:val="084C61"/>
          <w:sz w:val="30"/>
          <w:rtl/>
        </w:rPr>
        <w:t>15. إجراء رقم PRIV-P01: الاستجابة لحوادث تسرب البيانات</w:t>
      </w:r>
    </w:p>
    <w:tbl>
      <w:tblPr>
        <w:tblStyle w:val="TableGrid"/>
        <w:tblW w:type="auto" w:w="0"/>
        <w:jc w:val="center"/>
        <w:tblLayout w:type="fixed"/>
        <w:tblLook w:firstColumn="1" w:firstRow="1" w:lastColumn="0" w:lastRow="0" w:noHBand="0" w:noVBand="1" w:val="04A0"/>
        <w:bidiVisual/>
      </w:tblPr>
      <w:tblGrid>
        <w:gridCol w:w="3326"/>
        <w:gridCol w:w="3326"/>
        <w:gridCol w:w="3326"/>
      </w:tblGrid>
      <w:tr>
        <w:tc>
          <w:tcPr>
            <w:tcW w:type="dxa" w:w="158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5"/>
                <w:rtl/>
              </w:rPr>
              <w:t>المرحلة</w:t>
            </w:r>
          </w:p>
        </w:tc>
        <w:tc>
          <w:tcPr>
            <w:tcW w:type="dxa" w:w="4876"/>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5"/>
                <w:rtl/>
              </w:rPr>
              <w:t>الإجراء</w:t>
            </w:r>
          </w:p>
        </w:tc>
        <w:tc>
          <w:tcPr>
            <w:tcW w:type="dxa" w:w="289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5"/>
                <w:rtl/>
              </w:rPr>
              <w:t>المسؤول/المخرج</w:t>
            </w:r>
          </w:p>
        </w:tc>
      </w:tr>
      <w:tr>
        <w:tc>
          <w:tcPr>
            <w:tcW w:type="dxa" w:w="1587"/>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الإبلاغ</w:t>
            </w:r>
          </w:p>
        </w:tc>
        <w:tc>
          <w:tcPr>
            <w:tcW w:type="dxa" w:w="4876"/>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تسجيل البلاغ فورًا وعدم حذف الأدلة أو التواصل الخارجي غير المخول.</w:t>
            </w:r>
          </w:p>
        </w:tc>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رقم حادثة</w:t>
            </w:r>
          </w:p>
        </w:tc>
      </w:tr>
      <w:tr>
        <w:tc>
          <w:tcPr>
            <w:tcW w:type="dxa" w:w="158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الاحتواء</w:t>
            </w:r>
          </w:p>
        </w:tc>
        <w:tc>
          <w:tcPr>
            <w:tcW w:type="dxa" w:w="487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عزل الحساب أو الجهاز، إيقاف المشاركة، استرداد الرسالة أو الوثيقة، وتغيير الاعتمادات عند اللزوم.</w:t>
            </w:r>
          </w:p>
        </w:tc>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احتواء أولي</w:t>
            </w:r>
          </w:p>
        </w:tc>
      </w:tr>
      <w:tr>
        <w:tc>
          <w:tcPr>
            <w:tcW w:type="dxa" w:w="1587"/>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حفظ الأدلة</w:t>
            </w:r>
          </w:p>
        </w:tc>
        <w:tc>
          <w:tcPr>
            <w:tcW w:type="dxa" w:w="4876"/>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توثيق وقت العلم والوقائع والسجلات والأطراف والإجراءات مع سلسلة حفظ مناسبة.</w:t>
            </w:r>
          </w:p>
        </w:tc>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ملف حادثة</w:t>
            </w:r>
          </w:p>
        </w:tc>
      </w:tr>
      <w:tr>
        <w:tc>
          <w:tcPr>
            <w:tcW w:type="dxa" w:w="158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التقييم</w:t>
            </w:r>
          </w:p>
        </w:tc>
        <w:tc>
          <w:tcPr>
            <w:tcW w:type="dxa" w:w="487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تحديد نوع البيانات والفئات والأعداد والسبب والنطاق والضرر والحقوق المتأثرة.</w:t>
            </w:r>
          </w:p>
        </w:tc>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تقييم خطر</w:t>
            </w:r>
          </w:p>
        </w:tc>
      </w:tr>
      <w:tr>
        <w:tc>
          <w:tcPr>
            <w:tcW w:type="dxa" w:w="1587"/>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التصعيد</w:t>
            </w:r>
          </w:p>
        </w:tc>
        <w:tc>
          <w:tcPr>
            <w:tcW w:type="dxa" w:w="4876"/>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رفع الحالة لجهة الاستجابة والإدارة وصاحب الصلاحية، والاستعانة بالاختصاصيين عند الحاجة.</w:t>
            </w:r>
          </w:p>
        </w:tc>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قرار استجابة</w:t>
            </w:r>
          </w:p>
        </w:tc>
      </w:tr>
      <w:tr>
        <w:tc>
          <w:tcPr>
            <w:tcW w:type="dxa" w:w="158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الإشعار النظامي</w:t>
            </w:r>
          </w:p>
        </w:tc>
        <w:tc>
          <w:tcPr>
            <w:tcW w:type="dxa" w:w="487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إشعار الجهة المختصة خلال 72 ساعة عند تحقق الشرط، وإشعار أصحاب البيانات عند تحقق شرطه.</w:t>
            </w:r>
          </w:p>
        </w:tc>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إشعارات موثقة</w:t>
            </w:r>
          </w:p>
        </w:tc>
      </w:tr>
      <w:tr>
        <w:tc>
          <w:tcPr>
            <w:tcW w:type="dxa" w:w="1587"/>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المعالجة والتعافي</w:t>
            </w:r>
          </w:p>
        </w:tc>
        <w:tc>
          <w:tcPr>
            <w:tcW w:type="dxa" w:w="4876"/>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إغلاق الثغرة واستعادة الخدمة والتحقق من سلامتها ومراقبة التكرار.</w:t>
            </w:r>
          </w:p>
        </w:tc>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عودة آمنة</w:t>
            </w:r>
          </w:p>
        </w:tc>
      </w:tr>
      <w:tr>
        <w:tc>
          <w:tcPr>
            <w:tcW w:type="dxa" w:w="158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المراجعة</w:t>
            </w:r>
          </w:p>
        </w:tc>
        <w:tc>
          <w:tcPr>
            <w:tcW w:type="dxa" w:w="487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تحليل السبب الجذري وخطة تصحيح ومتابعة الفاعلية وإغلاق رسمي.</w:t>
            </w:r>
          </w:p>
        </w:tc>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تقرير إغلاق</w:t>
            </w:r>
          </w:p>
        </w:tc>
      </w:tr>
    </w:tbl>
    <w:p>
      <w:pPr>
        <w:spacing w:after="20"/>
      </w:pPr>
    </w:p>
    <w:p>
      <w:pPr>
        <w:spacing w:before="120" w:after="100" w:line="281" w:lineRule="auto"/>
        <w:jc w:val="right"/>
        <w:keepNext/>
        <w:bidi/>
      </w:pPr>
      <w:r>
        <w:rPr>
          <w:rFonts w:ascii="Arial" w:hAnsi="Arial" w:cs="Arial"/>
          <w:b/>
          <w:color w:val="2F7D59"/>
          <w:sz w:val="25"/>
          <w:rtl/>
        </w:rPr>
        <w:t>نموذج تقييم الحادثة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94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الحقل</w:t>
            </w:r>
          </w:p>
        </w:tc>
        <w:tc>
          <w:tcPr>
            <w:tcW w:type="dxa" w:w="6406"/>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البيانات</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رقم الحادثة/وقت العلم</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وصف الحادثة وكيفية وقوعها</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فئات البيانات وأصحابها والأعداد</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التدابير المتخذة</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تقييم الضرر والحقوق</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إشعار الجهة المختصة</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 غير منطبق   ☐ مطلوب - الموعد: ........  تم بتاريخ: ........</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إشعار أصحاب البيانات</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 غير منطبق   ☐ مطلوب - تم بتاريخ: ........</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صاحب القرار والتوقيع</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bl>
    <w:p>
      <w:pPr>
        <w:spacing w:after="20"/>
      </w:pPr>
    </w:p>
    <w:p>
      <w:pPr>
        <w:spacing w:before="120" w:after="100" w:line="281" w:lineRule="auto"/>
        <w:jc w:val="right"/>
        <w:keepNext/>
        <w:bidi/>
      </w:pPr>
      <w:r>
        <w:rPr>
          <w:rFonts w:ascii="Arial" w:hAnsi="Arial" w:cs="Arial"/>
          <w:b/>
          <w:color w:val="2F7D59"/>
          <w:sz w:val="25"/>
          <w:rtl/>
        </w:rPr>
        <w:t>سجل إجراءات الحادثة</w:t>
      </w:r>
    </w:p>
    <w:tbl>
      <w:tblPr>
        <w:tblStyle w:val="TableGrid"/>
        <w:tblW w:type="auto" w:w="0"/>
        <w:jc w:val="center"/>
        <w:tblLayout w:type="fixed"/>
        <w:tblLook w:firstColumn="1" w:firstRow="1" w:lastColumn="0" w:lastRow="0" w:noHBand="0" w:noVBand="1" w:val="04A0"/>
        <w:bidiVisual/>
      </w:tblPr>
      <w:tblGrid>
        <w:gridCol w:w="2494"/>
        <w:gridCol w:w="2494"/>
        <w:gridCol w:w="2494"/>
        <w:gridCol w:w="2494"/>
      </w:tblGrid>
      <w:tr>
        <w:tc>
          <w:tcPr>
            <w:tcW w:type="dxa" w:w="175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4"/>
                <w:rtl/>
              </w:rPr>
              <w:t>التاريخ/الوقت</w:t>
            </w:r>
          </w:p>
        </w:tc>
        <w:tc>
          <w:tcPr>
            <w:tcW w:type="dxa" w:w="4082"/>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4"/>
                <w:rtl/>
              </w:rPr>
              <w:t>الإجراء</w:t>
            </w:r>
          </w:p>
        </w:tc>
        <w:tc>
          <w:tcPr>
            <w:tcW w:type="dxa" w:w="175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4"/>
                <w:rtl/>
              </w:rPr>
              <w:t>المنفذ</w:t>
            </w:r>
          </w:p>
        </w:tc>
        <w:tc>
          <w:tcPr>
            <w:tcW w:type="dxa" w:w="175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4"/>
                <w:rtl/>
              </w:rPr>
              <w:t>النتيجة</w:t>
            </w:r>
          </w:p>
        </w:tc>
      </w:tr>
      <w:tr>
        <w:tc>
          <w:tcPr>
            <w:tcW w:type="dxa" w:w="1757"/>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4082"/>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757"/>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757"/>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r>
      <w:tr>
        <w:tc>
          <w:tcPr>
            <w:tcW w:type="dxa" w:w="175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4082"/>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75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75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r>
      <w:tr>
        <w:tc>
          <w:tcPr>
            <w:tcW w:type="dxa" w:w="1757"/>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4082"/>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757"/>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757"/>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r>
      <w:tr>
        <w:tc>
          <w:tcPr>
            <w:tcW w:type="dxa" w:w="175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4082"/>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75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75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r>
    </w:tbl>
    <w:p>
      <w:pPr>
        <w:spacing w:after="20"/>
      </w:pPr>
    </w:p>
    <w:p>
      <w:pPr>
        <w:spacing w:before="180" w:after="100" w:line="281" w:lineRule="auto"/>
        <w:jc w:val="right"/>
        <w:keepNext/>
        <w:bidi/>
      </w:pPr>
      <w:r>
        <w:rPr>
          <w:rFonts w:ascii="Arial" w:hAnsi="Arial" w:cs="Arial"/>
          <w:b/>
          <w:color w:val="084C61"/>
          <w:sz w:val="30"/>
          <w:rtl/>
        </w:rPr>
        <w:t>16. نموذج رقم PRIV-A01: تقييم انطباق تعيين مسؤول حماية البيانات</w:t>
      </w:r>
    </w:p>
    <w:p>
      <w:pPr>
        <w:spacing w:before="0" w:after="100" w:line="281" w:lineRule="auto"/>
        <w:jc w:val="right"/>
        <w:keepNext w:val="0"/>
        <w:bidi/>
      </w:pPr>
      <w:r>
        <w:t>يرتبط هذا التقييم بالمادة ذات الصلة من النظام واللائحة وقواعد التعيين والأداة الرسمية للجهة المختصة، ولا تعني نتيجته بذاتها وجوب التعيين أو عدمه إلا وفق المتطلبات النظامية المنطبقة.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3969"/>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5"/>
                <w:rtl/>
              </w:rPr>
              <w:t>معيار التقييم</w:t>
            </w:r>
          </w:p>
        </w:tc>
        <w:tc>
          <w:tcPr>
            <w:tcW w:type="dxa" w:w="5386"/>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5"/>
                <w:rtl/>
              </w:rPr>
              <w:t>النتيجة والدليل</w:t>
            </w:r>
          </w:p>
        </w:tc>
      </w:tr>
      <w:tr>
        <w:tc>
          <w:tcPr>
            <w:tcW w:type="dxa" w:w="3969"/>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هل طبيعة أنشطة الجمعية الأساسية تتطلب مراقبة منتظمة ومنهجية لأصحاب البيانات على نطاق واسع؟</w:t>
            </w:r>
          </w:p>
        </w:tc>
        <w:tc>
          <w:tcPr>
            <w:tcW w:type="dxa" w:w="5386"/>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 نعم  ☐ لا  ☐ يحتاج تحقق</w:t>
              <w:br/>
              <w:t>الدليل: ................................................................</w:t>
            </w:r>
          </w:p>
        </w:tc>
      </w:tr>
      <w:tr>
        <w:tc>
          <w:tcPr>
            <w:tcW w:type="dxa" w:w="3969"/>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هل تشمل الأنشطة الأساسية معالجة بيانات حساسة على نطاق واسع؟</w:t>
            </w:r>
          </w:p>
        </w:tc>
        <w:tc>
          <w:tcPr>
            <w:tcW w:type="dxa" w:w="538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 نعم  ☐ لا  ☐ يحتاج تحقق</w:t>
              <w:br/>
              <w:t>الدليل: ................................................................</w:t>
            </w:r>
          </w:p>
        </w:tc>
      </w:tr>
      <w:tr>
        <w:tc>
          <w:tcPr>
            <w:tcW w:type="dxa" w:w="3969"/>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هل توجد حالات أخرى منصوص عليها في قواعد التعيين أو توجيه من الجهة المختصة؟</w:t>
            </w:r>
          </w:p>
        </w:tc>
        <w:tc>
          <w:tcPr>
            <w:tcW w:type="dxa" w:w="5386"/>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 نعم  ☐ لا  ☐ يحتاج تحقق</w:t>
              <w:br/>
              <w:t>الدليل: ................................................................</w:t>
            </w:r>
          </w:p>
        </w:tc>
      </w:tr>
      <w:tr>
        <w:tc>
          <w:tcPr>
            <w:tcW w:type="dxa" w:w="3969"/>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حجم البيانات وعدد أصحابها والنطاق الجغرافي والمدة والتكرار</w:t>
            </w:r>
          </w:p>
        </w:tc>
        <w:tc>
          <w:tcPr>
            <w:tcW w:type="dxa" w:w="538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w:t>
            </w:r>
          </w:p>
        </w:tc>
      </w:tr>
      <w:tr>
        <w:tc>
          <w:tcPr>
            <w:tcW w:type="dxa" w:w="3969"/>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نتيجة الأداة الرسمية وتاريخها</w:t>
            </w:r>
          </w:p>
        </w:tc>
        <w:tc>
          <w:tcPr>
            <w:tcW w:type="dxa" w:w="5386"/>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النتيجة: ................................................  التاريخ: .... / .... / ........</w:t>
            </w:r>
          </w:p>
        </w:tc>
      </w:tr>
      <w:tr>
        <w:tc>
          <w:tcPr>
            <w:tcW w:type="dxa" w:w="3969"/>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الرأي الموثق</w:t>
            </w:r>
          </w:p>
        </w:tc>
        <w:tc>
          <w:tcPr>
            <w:tcW w:type="dxa" w:w="538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 التعيين إلزامي   ☐ غير إلزامي حاليًا   ☐ يلزم استكمال معلومات/استشارة</w:t>
            </w:r>
          </w:p>
        </w:tc>
      </w:tr>
      <w:tr>
        <w:tc>
          <w:tcPr>
            <w:tcW w:type="dxa" w:w="3969"/>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الإجراء التالي</w:t>
            </w:r>
          </w:p>
        </w:tc>
        <w:tc>
          <w:tcPr>
            <w:tcW w:type="dxa" w:w="5386"/>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w:t>
            </w:r>
          </w:p>
        </w:tc>
      </w:tr>
      <w:tr>
        <w:tc>
          <w:tcPr>
            <w:tcW w:type="dxa" w:w="3969"/>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معد التقييم/المراجع/التاريخ</w:t>
            </w:r>
          </w:p>
        </w:tc>
        <w:tc>
          <w:tcPr>
            <w:tcW w:type="dxa" w:w="538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w:t>
            </w:r>
          </w:p>
        </w:tc>
      </w:tr>
    </w:tbl>
    <w:p>
      <w:pPr>
        <w:spacing w:after="20"/>
      </w:pPr>
    </w:p>
    <w:p>
      <w:pPr>
        <w:spacing w:before="120" w:after="100" w:line="281" w:lineRule="auto"/>
        <w:jc w:val="right"/>
        <w:keepNext/>
        <w:bidi/>
      </w:pPr>
      <w:r>
        <w:rPr>
          <w:rFonts w:ascii="Arial" w:hAnsi="Arial" w:cs="Arial"/>
          <w:b/>
          <w:color w:val="2F7D59"/>
          <w:sz w:val="25"/>
          <w:rtl/>
        </w:rPr>
        <w:t>ضوابط ما بعد النتيجة</w:t>
      </w:r>
    </w:p>
    <w:p>
      <w:pPr>
        <w:pStyle w:val="ListBullet"/>
        <w:spacing w:after="60" w:line="276" w:lineRule="auto"/>
        <w:ind w:right="312"/>
        <w:jc w:val="right"/>
        <w:bidi/>
      </w:pPr>
      <w:r>
        <w:rPr>
          <w:rFonts w:ascii="Arial" w:hAnsi="Arial" w:cs="Arial"/>
          <w:b w:val="0"/>
          <w:sz w:val="20"/>
          <w:rtl/>
        </w:rPr>
        <w:t>إذا ثبت الإلزام، يصدر قرار تعيين مستقل من صاحب الصلاحية، وتحدد الاستقلالية والموارد والمهام وبيانات التواصل، وتبلغ الجهة المختصة وفق المتطلبات.</w:t>
      </w:r>
    </w:p>
    <w:p>
      <w:pPr>
        <w:pStyle w:val="ListBullet"/>
        <w:spacing w:after="60" w:line="276" w:lineRule="auto"/>
        <w:ind w:right="312"/>
        <w:jc w:val="right"/>
        <w:bidi/>
      </w:pPr>
      <w:r>
        <w:rPr>
          <w:rFonts w:ascii="Arial" w:hAnsi="Arial" w:cs="Arial"/>
          <w:b w:val="0"/>
          <w:sz w:val="20"/>
          <w:rtl/>
        </w:rPr>
        <w:t>إذا لم يثبت الإلزام، تكلف مسؤوليات الخصوصية تشغيليًا دون استخدام مسمى يوحي بالتعيين النظامي، ويعاد التقييم دوريًا وعند تغير الأنشطة.</w:t>
      </w:r>
    </w:p>
    <w:p>
      <w:pPr>
        <w:pStyle w:val="ListBullet"/>
        <w:spacing w:after="60" w:line="276" w:lineRule="auto"/>
        <w:ind w:right="312"/>
        <w:jc w:val="right"/>
        <w:bidi/>
      </w:pPr>
      <w:r>
        <w:rPr>
          <w:rFonts w:ascii="Arial" w:hAnsi="Arial" w:cs="Arial"/>
          <w:b w:val="0"/>
          <w:sz w:val="20"/>
          <w:rtl/>
        </w:rPr>
        <w:t>تحفظ نتيجة التقييم والأدلة وتاريخ المراجعة، ولا تنشر تفاصيل السجل الداخلي.</w:t>
      </w:r>
    </w:p>
    <w:p>
      <w:r>
        <w:br w:type="page"/>
      </w:r>
    </w:p>
    <w:p>
      <w:pPr>
        <w:jc w:val="center"/>
        <w:bidi w:val="1"/>
      </w:pPr>
      <w:r>
        <w:rPr>
          <w:rFonts w:ascii="Arial" w:hAnsi="Arial" w:cs="Arial"/>
          <w:b/>
          <w:color w:val="1F4E78"/>
          <w:sz w:val="34"/>
        </w:rPr>
        <w:t>ملحق النماذج والسجلات</w:t>
      </w:r>
    </w:p>
    <w:p>
      <w:r>
        <w:br w:type="page"/>
      </w:r>
    </w:p>
    <w:p>
      <w:pPr>
        <w:spacing w:after="180"/>
        <w:jc w:val="center"/>
        <w:bidi w:val="1"/>
      </w:pPr>
      <w:r>
        <w:rPr>
          <w:rFonts w:ascii="Arial" w:hAnsi="Arial" w:cs="Arial"/>
          <w:b/>
          <w:color w:val="1F4E78"/>
          <w:sz w:val="30"/>
        </w:rPr>
        <w:t>PRIV-R01 — سجل أنشطة معالجة البيانات</w:t>
      </w:r>
    </w:p>
    <w:tbl>
      <w:tblPr>
        <w:tblW w:type="auto" w:w="0"/>
        <w:jc w:val="center"/>
        <w:tblLayout w:type="fixed"/>
        <w:tblLook w:firstColumn="1" w:firstRow="1" w:lastColumn="0" w:lastRow="0" w:noHBand="0" w:noVBand="1" w:val="04A0"/>
      </w:tblPr>
      <w:tblGrid>
        <w:gridCol w:w="2952"/>
        <w:gridCol w:w="6264"/>
      </w:tblGrid>
      <w:tr>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النشاط</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الغرض</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فئات البيانات</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فئات أصحاب البيانات</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الأساس النظامي</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المستلمون</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النقل</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مدة الحفظ</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الضوابط</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المالك</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PRIV-P01 — إجراء الاستجابة لحوادث البيانات</w:t>
      </w:r>
    </w:p>
    <w:tbl>
      <w:tblPr>
        <w:tblW w:type="auto" w:w="0"/>
        <w:jc w:val="center"/>
        <w:tblLayout w:type="fixed"/>
        <w:tblLook w:firstColumn="1" w:firstRow="1" w:lastColumn="0" w:lastRow="0" w:noHBand="0" w:noVBand="1" w:val="04A0"/>
      </w:tblPr>
      <w:tblGrid>
        <w:gridCol w:w="2952"/>
        <w:gridCol w:w="6264"/>
      </w:tblGrid>
      <w:tr>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رقم الحادثة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الإبلاغ الفوري</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الاحتواء وحفظ الأدلة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تقييم الفئات والعدد والأثر</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التصعيد</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الإشعار عند الانطباق</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المعالجة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الإغلاق</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PRIV-F01 — نموذج تقييم حادثة بيانات</w:t>
      </w:r>
    </w:p>
    <w:tbl>
      <w:tblPr>
        <w:tblW w:type="auto" w:w="0"/>
        <w:jc w:val="center"/>
        <w:tblLayout w:type="fixed"/>
        <w:tblLook w:firstColumn="1" w:firstRow="1" w:lastColumn="0" w:lastRow="0" w:noHBand="0" w:noVBand="1" w:val="04A0"/>
      </w:tblPr>
      <w:tblGrid>
        <w:gridCol w:w="2952"/>
        <w:gridCol w:w="6264"/>
      </w:tblGrid>
      <w:tr>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رقم الحادثة ووقت العلم</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الوصف والسبب</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فئات البيانات والأشخاص</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نطاق الأثر</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مستوى الخطورة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إجراءات الاحتواء</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قرار الإشعار</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المعتمد</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PRIV-R02 — سجل إجراءات حوادث البيانات</w:t>
      </w:r>
    </w:p>
    <w:tbl>
      <w:tblPr>
        <w:tblW w:type="auto" w:w="0"/>
        <w:jc w:val="center"/>
        <w:tblLayout w:type="fixed"/>
        <w:tblLook w:firstColumn="1" w:firstRow="1" w:lastColumn="0" w:lastRow="0" w:noHBand="0" w:noVBand="1" w:val="04A0"/>
      </w:tblPr>
      <w:tblGrid>
        <w:gridCol w:w="2952"/>
        <w:gridCol w:w="6264"/>
      </w:tblGrid>
      <w:tr>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رقم الحادثة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الإجراء</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المسؤول</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التاريخ والوقت</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الدليل</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القرار</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حالة الإجراء</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تاريخ الإغلاق</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PRIV-A01 — تقييم انطباق تعيين مسؤول حماية البيانات</w:t>
      </w:r>
    </w:p>
    <w:tbl>
      <w:tblPr>
        <w:tblW w:type="auto" w:w="0"/>
        <w:jc w:val="center"/>
        <w:tblLayout w:type="fixed"/>
        <w:tblLook w:firstColumn="1" w:firstRow="1" w:lastColumn="0" w:lastRow="0" w:noHBand="0" w:noVBand="1" w:val="04A0"/>
      </w:tblPr>
      <w:tblGrid>
        <w:gridCol w:w="2952"/>
        <w:gridCol w:w="6264"/>
      </w:tblGrid>
      <w:tr>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طبيعة المعالجة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حجم ونطاق البيانات</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المراقبة المنتظمة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البيانات الحساسة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المتطلبات النظامية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نتيجة التقييم</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المبررات</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تاريخ المراجعة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sectPr w:rsidR="00FC693F" w:rsidRPr="0006063C" w:rsidSect="00034616">
      <w:headerReference w:type="default" r:id="rId9"/>
      <w:footerReference w:type="default" r:id="rId10"/>
      <w:headerReference w:type="first" r:id="rId11"/>
      <w:headerReference w:type="even" r:id="rId12"/>
      <w:footerReference w:type="first" r:id="rId13"/>
      <w:footerReference w:type="even" r:id="rId14"/>
      <w:pgSz w:w="11906" w:h="16838"/>
      <w:pgMar w:top="1191" w:right="964" w:bottom="1077" w:left="964"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cs="Arial"/>
        <w:color w:val="0B7F9E"/>
        <w:sz w:val="16"/>
      </w:rPr>
      <w:t xml:space="preserve">صفحة </w:t>
    </w:r>
    <w:fldSimple w:instr="PAGE"/>
  </w:p>
  <w:p>
    <w:pPr>
      <w:spacing w:before="0" w:after="0"/>
      <w:jc w:val="center"/>
    </w:pPr>
    <w:r>
      <w:drawing>
        <wp:inline xmlns:a="http://schemas.openxmlformats.org/drawingml/2006/main" xmlns:pic="http://schemas.openxmlformats.org/drawingml/2006/picture">
          <wp:extent cx="7772400" cy="1243584"/>
          <wp:docPr id="1" name="Picture 1"/>
          <wp:cNvGraphicFramePr>
            <a:graphicFrameLocks noChangeAspect="1"/>
          </wp:cNvGraphicFramePr>
          <a:graphic>
            <a:graphicData uri="http://schemas.openxmlformats.org/drawingml/2006/picture">
              <pic:pic>
                <pic:nvPicPr>
                  <pic:cNvPr id="0" name="footer.png"/>
                  <pic:cNvPicPr/>
                </pic:nvPicPr>
                <pic:blipFill>
                  <a:blip r:embed="rId1"/>
                  <a:stretch>
                    <a:fillRect/>
                  </a:stretch>
                </pic:blipFill>
                <pic:spPr>
                  <a:xfrm>
                    <a:off x="0" y="0"/>
                    <a:ext cx="7772400" cy="1243584"/>
                  </a:xfrm>
                  <a:prstGeom prst="rect"/>
                </pic:spPr>
              </pic:pic>
            </a:graphicData>
          </a:graphic>
        </wp:inline>
      </w:drawing>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center"/>
    </w:pPr>
    <w:r>
      <w:drawing>
        <wp:inline xmlns:a="http://schemas.openxmlformats.org/drawingml/2006/main" xmlns:pic="http://schemas.openxmlformats.org/drawingml/2006/picture">
          <wp:extent cx="7772400" cy="1956816"/>
          <wp:docPr id="1" name="Picture 1"/>
          <wp:cNvGraphicFramePr>
            <a:graphicFrameLocks noChangeAspect="1"/>
          </wp:cNvGraphicFramePr>
          <a:graphic>
            <a:graphicData uri="http://schemas.openxmlformats.org/drawingml/2006/picture">
              <pic:pic>
                <pic:nvPicPr>
                  <pic:cNvPr id="0" name="header.png"/>
                  <pic:cNvPicPr/>
                </pic:nvPicPr>
                <pic:blipFill>
                  <a:blip r:embed="rId1"/>
                  <a:stretch>
                    <a:fillRect/>
                  </a:stretch>
                </pic:blipFill>
                <pic:spPr>
                  <a:xfrm>
                    <a:off x="0" y="0"/>
                    <a:ext cx="7772400" cy="1956816"/>
                  </a:xfrm>
                  <a:prstGeom prst="rect"/>
                </pic:spPr>
              </pic:pic>
            </a:graphicData>
          </a:graphic>
        </wp:inline>
      </w:drawing>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4" w:lineRule="auto"/>
    </w:pPr>
    <w:rPr>
      <w:rFonts w:ascii="Arial" w:hAnsi="Arial" w:cs="Arial"/>
      <w:color w:val="1F29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Arial" w:hAnsi="Arial" w:cs="Arial"/>
      <w:b/>
      <w:bCs/>
      <w:color w:val="0B7F9E"/>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cs="Arial"/>
      <w:b/>
      <w:bCs/>
      <w:color w:val="A9322D"/>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cs="Arial"/>
      <w:b/>
      <w:bCs/>
      <w:color w:val="0B7F9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Arial" w:hAnsi="Arial" w:cs="Arial"/>
      <w:b/>
      <w:color w:val="0B7F9E"/>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سياسة خصوصية البيانات الشخصية النسخة النهائية</dc:title>
  <dc:subject>نسخة معتمدة متضمنة ملحق النماذج والسجلات</dc:subject>
  <dc:creator>جمعية البلسم للتدريب والتطوير الصحي</dc:creator>
  <cp:keywords>حماية البيانات الشخصية، الخصوصية، الحقوق، التسرب، سجل المعالجة، مسؤول حماية البيانات</cp:keywords>
  <dc:description>generated by python-docx</dc:description>
  <cp:lastModifiedBy/>
  <cp:revision>1</cp:revision>
  <dcterms:created xsi:type="dcterms:W3CDTF">2013-12-23T23:15:00Z</dcterms:created>
  <dcterms:modified xsi:type="dcterms:W3CDTF">2013-12-23T23:15:00Z</dcterms:modified>
  <cp:category/>
</cp:coreProperties>
</file>