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40" w:line="281" w:lineRule="auto"/>
        <w:jc w:val="right"/>
        <w:keepNext w:val="0"/>
        <w:bidi/>
      </w:pPr>
      <w:r>
        <w:rPr>
          <w:rFonts w:ascii="Arial" w:hAnsi="Arial" w:cs="Arial"/>
          <w:b w:val="0"/>
          <w:sz w:val="20"/>
          <w:rtl/>
        </w:rPr>
      </w:r>
    </w:p>
    <w:p>
      <w:pPr>
        <w:spacing w:before="0" w:after="200" w:line="281" w:lineRule="auto"/>
        <w:jc w:val="center"/>
        <w:keepNext w:val="0"/>
        <w:bidi/>
      </w:pPr>
      <w:r>
        <w:rPr>
          <w:rFonts w:ascii="Arial" w:hAnsi="Arial" w:cs="Arial"/>
          <w:b/>
          <w:color w:val="084C61"/>
          <w:sz w:val="50"/>
          <w:rtl/>
        </w:rPr>
        <w:t>سياسة تنظيم العلاقة مع المستفيدين</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80" w:line="281" w:lineRule="auto"/>
        <w:jc w:val="center"/>
        <w:keepNext w:val="0"/>
        <w:bidi/>
      </w:pPr>
      <w:r>
        <w:rPr>
          <w:rFonts w:ascii="Arial" w:hAnsi="Arial" w:cs="Arial"/>
          <w:b w:val="0"/>
          <w:color w:val="5A6770"/>
          <w:sz w:val="22"/>
          <w:rtl/>
        </w:rPr>
        <w:t>حقوق واضحة، خدمة عادلة، وخصوصية مصونة</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0"/>
          <w:rtl/>
        </w:rPr>
        <w:t>اعتمد مجلس إدارة جمعية البلسم للتدريب والتطوير الصحي هذه السياسة لتنظيم العلاقة مع المستفيدين، ويلتزم العاملون والمتطوعون والمتعاونون بتطبيقها من تاريخ نفاذها.</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تنظيم العلاقة مع المستفيدين</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الإدارة التنفيذية والوحدات المقدمة للخدمة ووحدة الدعم الإداري</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الخدمات أو الأنظمة أو الهيكل</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النطاق</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جميع المستفيدين من خدمات وبرامج الجمعية، وجميع العاملين والمتطوعين والمتعاونين في تقديمها</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الوثائق المكملة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سياسة الشكاوى والاستفسارات والمقترحات، سياسة خصوصية البيانات، آلية قياس الرضا، وسياسة صرف المساعدات عند الانطباق</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درجة الإتاحة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السياسة وحقوق المستفيد وقنوات الخدمة والاعتراض قابلة للنشر؛ ملفات المستفيدين والقرارات الفردية داخلية مقيدة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المرجعية التشغيلية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معايير الأهلية وإجراءات كل برنامج أو خدمة المعتمدة من صاحب الصلاحية</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التواصل وإتاحة الخدمة</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العامة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الشكوى والاعتراض</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حقوق المستفيد</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الخصوصية وحفظ السجلات</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واجبات المستفيد</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الحماية والسلامة</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التزامات الجمعية</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المسؤوليات واللجان</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رحلة تقديم الخدمة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الرضا والتحسين والمراجعة</w:t>
            </w:r>
          </w:p>
        </w:tc>
      </w:tr>
    </w:tbl>
    <w:p>
      <w:pPr>
        <w:spacing w:after="20"/>
      </w:pPr>
    </w:p>
    <w:p>
      <w:r>
        <w:br w:type="page"/>
      </w: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0"/>
          <w:rtl/>
        </w:rPr>
        <w:t>تنظيم العلاقة بين الجمعية ومستفيديها بما يضمن جودة الخدمة وعدالتها وشفافيتها، وحفظ الحقوق والخصوصية، وتوضيح مسؤوليات الأطراف ومسار الطلب والقرار والاعتراض والتحسين.</w:t>
      </w:r>
    </w:p>
    <w:p>
      <w:pPr>
        <w:spacing w:before="120" w:after="100" w:line="281" w:lineRule="auto"/>
        <w:jc w:val="right"/>
        <w:keepNext/>
        <w:bidi/>
      </w:pPr>
      <w:r>
        <w:rPr>
          <w:rFonts w:ascii="Arial" w:hAnsi="Arial" w:cs="Arial"/>
          <w:b/>
          <w:color w:val="2F7D59"/>
          <w:sz w:val="25"/>
          <w:rtl/>
        </w:rPr>
        <w:t>1.2 نطاق التطبيق</w:t>
      </w:r>
    </w:p>
    <w:p>
      <w:pPr>
        <w:spacing w:before="0" w:after="100" w:line="281" w:lineRule="auto"/>
        <w:jc w:val="right"/>
        <w:keepNext w:val="0"/>
        <w:bidi/>
      </w:pPr>
      <w:r>
        <w:rPr>
          <w:rFonts w:ascii="Arial" w:hAnsi="Arial" w:cs="Arial"/>
          <w:b w:val="0"/>
          <w:sz w:val="20"/>
          <w:rtl/>
        </w:rPr>
        <w:t>تطبق على جميع المستفيدين الحاليين والمتقدمين للاستفادة من خدمات وبرامج الجمعية، وعلى العاملين والمتطوعين والمتعاونين والشركاء الذين يشاركون في تقديم الخدمة أو معالجة بيانات المستفيدين.</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المستفيد</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كل شخص أو فئة تستفيد أو تتقدم للاستفادة من خدمة أو برنامج تقدمه الجمعية.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الخدمة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منفعة أو برنامج أو تدريب أو مساعدة أو نشاط تقدمه الجمعية ضمن أهدافها المعتمدة.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معايير الأهلية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الشروط الموضوعية والمعلنة أو المتاحة التي تحدد استحقاق الخدمة وأولويتها.</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القرار</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نتيجة دراسة الطلب: قبول أو انتظار أو طلب استكمال أو اعتذار مسبب أو إنهاء خدمة.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الاعتراض</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طلب مراجعة القرار استنادًا إلى سبب أو معلومة أو مستند محدد.</w:t>
            </w:r>
          </w:p>
        </w:tc>
      </w:tr>
    </w:tbl>
    <w:p>
      <w:pPr>
        <w:spacing w:after="20"/>
      </w:pPr>
    </w:p>
    <w:p>
      <w:pPr>
        <w:spacing w:before="180" w:after="100" w:line="281" w:lineRule="auto"/>
        <w:jc w:val="right"/>
        <w:keepNext/>
        <w:bidi/>
      </w:pPr>
      <w:r>
        <w:rPr>
          <w:rFonts w:ascii="Arial" w:hAnsi="Arial" w:cs="Arial"/>
          <w:b/>
          <w:color w:val="084C61"/>
          <w:sz w:val="30"/>
          <w:rtl/>
        </w:rPr>
        <w:t>2. المبادئ العامة</w:t>
      </w:r>
    </w:p>
    <w:p>
      <w:pPr>
        <w:pStyle w:val="ListBullet"/>
        <w:spacing w:after="60" w:line="276" w:lineRule="auto"/>
        <w:ind w:right="312"/>
        <w:jc w:val="right"/>
        <w:bidi/>
      </w:pPr>
      <w:r>
        <w:rPr>
          <w:rFonts w:ascii="Arial" w:hAnsi="Arial" w:cs="Arial"/>
          <w:b w:val="0"/>
          <w:sz w:val="20"/>
          <w:rtl/>
        </w:rPr>
        <w:t>احترام كرامة المستفيد وحسن التعامل واللغة الواضحة.</w:t>
      </w:r>
    </w:p>
    <w:p>
      <w:pPr>
        <w:pStyle w:val="ListBullet"/>
        <w:spacing w:after="60" w:line="276" w:lineRule="auto"/>
        <w:ind w:right="312"/>
        <w:jc w:val="right"/>
        <w:bidi/>
      </w:pPr>
      <w:r>
        <w:rPr>
          <w:rFonts w:ascii="Arial" w:hAnsi="Arial" w:cs="Arial"/>
          <w:b w:val="0"/>
          <w:sz w:val="20"/>
          <w:rtl/>
        </w:rPr>
        <w:t>العدالة والمساواة وعدم التمييز غير المشروع.</w:t>
      </w:r>
    </w:p>
    <w:p>
      <w:pPr>
        <w:pStyle w:val="ListBullet"/>
        <w:spacing w:after="60" w:line="276" w:lineRule="auto"/>
        <w:ind w:right="312"/>
        <w:jc w:val="right"/>
        <w:bidi/>
      </w:pPr>
      <w:r>
        <w:rPr>
          <w:rFonts w:ascii="Arial" w:hAnsi="Arial" w:cs="Arial"/>
          <w:b w:val="0"/>
          <w:sz w:val="20"/>
          <w:rtl/>
        </w:rPr>
        <w:t>تطبيق معايير موضوعية ومتسقة مع توثيق أسباب القرار.</w:t>
      </w:r>
    </w:p>
    <w:p>
      <w:pPr>
        <w:pStyle w:val="ListBullet"/>
        <w:spacing w:after="60" w:line="276" w:lineRule="auto"/>
        <w:ind w:right="312"/>
        <w:jc w:val="right"/>
        <w:bidi/>
      </w:pPr>
      <w:r>
        <w:rPr>
          <w:rFonts w:ascii="Arial" w:hAnsi="Arial" w:cs="Arial"/>
          <w:b w:val="0"/>
          <w:sz w:val="20"/>
          <w:rtl/>
        </w:rPr>
        <w:t>الشفافية في الشروط والخطوات والمدد والقنوات ضمن الإمكانات والموارد.</w:t>
      </w:r>
    </w:p>
    <w:p>
      <w:pPr>
        <w:pStyle w:val="ListBullet"/>
        <w:spacing w:after="60" w:line="276" w:lineRule="auto"/>
        <w:ind w:right="312"/>
        <w:jc w:val="right"/>
        <w:bidi/>
      </w:pPr>
      <w:r>
        <w:rPr>
          <w:rFonts w:ascii="Arial" w:hAnsi="Arial" w:cs="Arial"/>
          <w:b w:val="0"/>
          <w:sz w:val="20"/>
          <w:rtl/>
        </w:rPr>
        <w:t>السرية وتقليل البيانات وقصر استخدامها على الغرض النظامي.</w:t>
      </w:r>
    </w:p>
    <w:p>
      <w:pPr>
        <w:pStyle w:val="ListBullet"/>
        <w:spacing w:after="60" w:line="276" w:lineRule="auto"/>
        <w:ind w:right="312"/>
        <w:jc w:val="right"/>
        <w:bidi/>
      </w:pPr>
      <w:r>
        <w:rPr>
          <w:rFonts w:ascii="Arial" w:hAnsi="Arial" w:cs="Arial"/>
          <w:b w:val="0"/>
          <w:sz w:val="20"/>
          <w:rtl/>
        </w:rPr>
        <w:t>عدم تأثير الشكوى أو الملاحظة أو الاعتراض حسن النية على أهلية المستفيد.</w:t>
      </w:r>
    </w:p>
    <w:p>
      <w:pPr>
        <w:pStyle w:val="ListBullet"/>
        <w:spacing w:after="60" w:line="276" w:lineRule="auto"/>
        <w:ind w:right="312"/>
        <w:jc w:val="right"/>
        <w:bidi/>
      </w:pPr>
      <w:r>
        <w:rPr>
          <w:rFonts w:ascii="Arial" w:hAnsi="Arial" w:cs="Arial"/>
          <w:b w:val="0"/>
          <w:sz w:val="20"/>
          <w:rtl/>
        </w:rPr>
        <w:t>إتاحة الخدمة بوسائل مناسبة ومراعاة احتياجات ذوي الإعاقة والفئات الأكثر حاجة متى أمكن.</w:t>
      </w:r>
    </w:p>
    <w:p>
      <w:pPr>
        <w:spacing w:before="180" w:after="100" w:line="281" w:lineRule="auto"/>
        <w:jc w:val="right"/>
        <w:keepNext/>
        <w:bidi/>
      </w:pPr>
      <w:r>
        <w:rPr>
          <w:rFonts w:ascii="Arial" w:hAnsi="Arial" w:cs="Arial"/>
          <w:b/>
          <w:color w:val="084C61"/>
          <w:sz w:val="30"/>
          <w:rtl/>
        </w:rPr>
        <w:t>3. حقوق المستفيد</w:t>
      </w:r>
    </w:p>
    <w:p>
      <w:pPr>
        <w:pStyle w:val="ListBullet"/>
        <w:spacing w:after="60" w:line="276" w:lineRule="auto"/>
        <w:ind w:right="312"/>
        <w:jc w:val="right"/>
        <w:bidi/>
      </w:pPr>
      <w:r>
        <w:rPr>
          <w:rFonts w:ascii="Arial" w:hAnsi="Arial" w:cs="Arial"/>
          <w:b w:val="0"/>
          <w:sz w:val="20"/>
          <w:rtl/>
        </w:rPr>
        <w:t>معرفة شروط وآلية الخدمة والوثائق المطلوبة والمدة التقديرية قبل التقديم.</w:t>
      </w:r>
    </w:p>
    <w:p>
      <w:pPr>
        <w:pStyle w:val="ListBullet"/>
        <w:spacing w:after="60" w:line="276" w:lineRule="auto"/>
        <w:ind w:right="312"/>
        <w:jc w:val="right"/>
        <w:bidi/>
      </w:pPr>
      <w:r>
        <w:rPr>
          <w:rFonts w:ascii="Arial" w:hAnsi="Arial" w:cs="Arial"/>
          <w:b w:val="0"/>
          <w:sz w:val="20"/>
          <w:rtl/>
        </w:rPr>
        <w:t>الحصول على الخدمة وفق معايير الأهلية والأولوية المعتمدة وفي حدود الموارد المتاحة.</w:t>
      </w:r>
    </w:p>
    <w:p>
      <w:pPr>
        <w:pStyle w:val="ListBullet"/>
        <w:spacing w:after="60" w:line="276" w:lineRule="auto"/>
        <w:ind w:right="312"/>
        <w:jc w:val="right"/>
        <w:bidi/>
      </w:pPr>
      <w:r>
        <w:rPr>
          <w:rFonts w:ascii="Arial" w:hAnsi="Arial" w:cs="Arial"/>
          <w:b w:val="0"/>
          <w:sz w:val="20"/>
          <w:rtl/>
        </w:rPr>
        <w:t>المعاملة باحترام وإنصاف وعدم التعرض للإساءة أو الاستغلال أو الانتقام.</w:t>
      </w:r>
    </w:p>
    <w:p>
      <w:pPr>
        <w:pStyle w:val="ListBullet"/>
        <w:spacing w:after="60" w:line="276" w:lineRule="auto"/>
        <w:ind w:right="312"/>
        <w:jc w:val="right"/>
        <w:bidi/>
      </w:pPr>
      <w:r>
        <w:rPr>
          <w:rFonts w:ascii="Arial" w:hAnsi="Arial" w:cs="Arial"/>
          <w:b w:val="0"/>
          <w:sz w:val="20"/>
          <w:rtl/>
        </w:rPr>
        <w:t>تلقي إشعار بحالة الطلب ونتيجته وأسباب القبول أو طلب الاستكمال أو الاعتذار بالقدر الذي لا يخل بحقوق الغير.</w:t>
      </w:r>
    </w:p>
    <w:p>
      <w:pPr>
        <w:pStyle w:val="ListBullet"/>
        <w:spacing w:after="60" w:line="276" w:lineRule="auto"/>
        <w:ind w:right="312"/>
        <w:jc w:val="right"/>
        <w:bidi/>
      </w:pPr>
      <w:r>
        <w:rPr>
          <w:rFonts w:ascii="Arial" w:hAnsi="Arial" w:cs="Arial"/>
          <w:b w:val="0"/>
          <w:sz w:val="20"/>
          <w:rtl/>
        </w:rPr>
        <w:t>حماية بياناته الشخصية وممارسة حقوقه النظامية بشأنها.</w:t>
      </w:r>
    </w:p>
    <w:p>
      <w:pPr>
        <w:pStyle w:val="ListBullet"/>
        <w:spacing w:after="60" w:line="276" w:lineRule="auto"/>
        <w:ind w:right="312"/>
        <w:jc w:val="right"/>
        <w:bidi/>
      </w:pPr>
      <w:r>
        <w:rPr>
          <w:rFonts w:ascii="Arial" w:hAnsi="Arial" w:cs="Arial"/>
          <w:b w:val="0"/>
          <w:sz w:val="20"/>
          <w:rtl/>
        </w:rPr>
        <w:t>تقديم شكوى أو استفسار أو مقترح أو اعتراض عبر قنوات واضحة ومتابعته برقم مرجعي متى أمكن.</w:t>
      </w:r>
    </w:p>
    <w:p>
      <w:pPr>
        <w:pStyle w:val="ListBullet"/>
        <w:spacing w:after="60" w:line="276" w:lineRule="auto"/>
        <w:ind w:right="312"/>
        <w:jc w:val="right"/>
        <w:bidi/>
      </w:pPr>
      <w:r>
        <w:rPr>
          <w:rFonts w:ascii="Arial" w:hAnsi="Arial" w:cs="Arial"/>
          <w:b w:val="0"/>
          <w:sz w:val="20"/>
          <w:rtl/>
        </w:rPr>
        <w:t>معرفة أي التزام أو تكلفة أو مخاطرة مرتبطة بالخدمة قبل الموافقة عليها.</w:t>
      </w:r>
    </w:p>
    <w:p>
      <w:pPr>
        <w:pStyle w:val="ListBullet"/>
        <w:spacing w:after="60" w:line="276" w:lineRule="auto"/>
        <w:ind w:right="312"/>
        <w:jc w:val="right"/>
        <w:bidi/>
      </w:pPr>
      <w:r>
        <w:rPr>
          <w:rFonts w:ascii="Arial" w:hAnsi="Arial" w:cs="Arial"/>
          <w:b w:val="0"/>
          <w:sz w:val="20"/>
          <w:rtl/>
        </w:rPr>
        <w:t>الانسحاب من الخدمة متى لم يوجد التزام نظامي أو تعاقدي يمنع ذلك، مع توضيح أثر الانسحاب.</w:t>
      </w:r>
    </w:p>
    <w:p>
      <w:r>
        <w:br w:type="page"/>
      </w:r>
    </w:p>
    <w:p>
      <w:pPr>
        <w:spacing w:before="180" w:after="100" w:line="281" w:lineRule="auto"/>
        <w:jc w:val="right"/>
        <w:keepNext/>
        <w:bidi/>
      </w:pPr>
      <w:r>
        <w:rPr>
          <w:rFonts w:ascii="Arial" w:hAnsi="Arial" w:cs="Arial"/>
          <w:b/>
          <w:color w:val="084C61"/>
          <w:sz w:val="30"/>
          <w:rtl/>
        </w:rPr>
        <w:t>4. واجبات المستفيد</w:t>
      </w:r>
    </w:p>
    <w:p>
      <w:pPr>
        <w:pStyle w:val="ListBullet"/>
        <w:spacing w:after="60" w:line="276" w:lineRule="auto"/>
        <w:ind w:right="312"/>
        <w:jc w:val="right"/>
        <w:bidi/>
      </w:pPr>
      <w:r>
        <w:rPr>
          <w:rFonts w:ascii="Arial" w:hAnsi="Arial" w:cs="Arial"/>
          <w:b w:val="0"/>
          <w:sz w:val="20"/>
          <w:rtl/>
        </w:rPr>
        <w:t>تقديم معلومات ومستندات صحيحة ومحدثة، وعدم إخفاء ما يؤثر جوهريًا على الأهلية.</w:t>
      </w:r>
    </w:p>
    <w:p>
      <w:pPr>
        <w:pStyle w:val="ListBullet"/>
        <w:spacing w:after="60" w:line="276" w:lineRule="auto"/>
        <w:ind w:right="312"/>
        <w:jc w:val="right"/>
        <w:bidi/>
      </w:pPr>
      <w:r>
        <w:rPr>
          <w:rFonts w:ascii="Arial" w:hAnsi="Arial" w:cs="Arial"/>
          <w:b w:val="0"/>
          <w:sz w:val="20"/>
          <w:rtl/>
        </w:rPr>
        <w:t>التعاون في التحقق وتحديث البيانات وإبلاغ الجمعية بالتغيرات المؤثرة.</w:t>
      </w:r>
    </w:p>
    <w:p>
      <w:pPr>
        <w:pStyle w:val="ListBullet"/>
        <w:spacing w:after="60" w:line="276" w:lineRule="auto"/>
        <w:ind w:right="312"/>
        <w:jc w:val="right"/>
        <w:bidi/>
      </w:pPr>
      <w:r>
        <w:rPr>
          <w:rFonts w:ascii="Arial" w:hAnsi="Arial" w:cs="Arial"/>
          <w:b w:val="0"/>
          <w:sz w:val="20"/>
          <w:rtl/>
        </w:rPr>
        <w:t>استخدام الخدمة أو المساعدة فيما خصصت له والالتزام بضوابط البرنامج.</w:t>
      </w:r>
    </w:p>
    <w:p>
      <w:pPr>
        <w:pStyle w:val="ListBullet"/>
        <w:spacing w:after="60" w:line="276" w:lineRule="auto"/>
        <w:ind w:right="312"/>
        <w:jc w:val="right"/>
        <w:bidi/>
      </w:pPr>
      <w:r>
        <w:rPr>
          <w:rFonts w:ascii="Arial" w:hAnsi="Arial" w:cs="Arial"/>
          <w:b w:val="0"/>
          <w:sz w:val="20"/>
          <w:rtl/>
        </w:rPr>
        <w:t>احترام العاملين والمتطوعين والمستفيدين الآخرين والمحافظة على مرافق الجمعية وعهدها.</w:t>
      </w:r>
    </w:p>
    <w:p>
      <w:pPr>
        <w:pStyle w:val="ListBullet"/>
        <w:spacing w:after="60" w:line="276" w:lineRule="auto"/>
        <w:ind w:right="312"/>
        <w:jc w:val="right"/>
        <w:bidi/>
      </w:pPr>
      <w:r>
        <w:rPr>
          <w:rFonts w:ascii="Arial" w:hAnsi="Arial" w:cs="Arial"/>
          <w:b w:val="0"/>
          <w:sz w:val="20"/>
          <w:rtl/>
        </w:rPr>
        <w:t>عدم تقديم الطلب ذاته ببيانات متعارضة أو الاستفادة المزدوجة بالمخالفة للضوابط.</w:t>
      </w:r>
    </w:p>
    <w:p>
      <w:pPr>
        <w:pStyle w:val="ListBullet"/>
        <w:spacing w:after="60" w:line="276" w:lineRule="auto"/>
        <w:ind w:right="312"/>
        <w:jc w:val="right"/>
        <w:bidi/>
      </w:pPr>
      <w:r>
        <w:rPr>
          <w:rFonts w:ascii="Arial" w:hAnsi="Arial" w:cs="Arial"/>
          <w:b w:val="0"/>
          <w:sz w:val="20"/>
          <w:rtl/>
        </w:rPr>
        <w:t>الإبلاغ عن أي خطأ أو منفعة غير مستحقة أو حادث سلامة أو إساءة مرتبطة بالخدمة.</w:t>
      </w:r>
    </w:p>
    <w:p>
      <w:pPr>
        <w:spacing w:before="180" w:after="100" w:line="281" w:lineRule="auto"/>
        <w:jc w:val="right"/>
        <w:keepNext/>
        <w:bidi/>
      </w:pPr>
      <w:r>
        <w:rPr>
          <w:rFonts w:ascii="Arial" w:hAnsi="Arial" w:cs="Arial"/>
          <w:b/>
          <w:color w:val="084C61"/>
          <w:sz w:val="30"/>
          <w:rtl/>
        </w:rPr>
        <w:t>5. التزامات الجمعية</w:t>
      </w:r>
    </w:p>
    <w:p>
      <w:pPr>
        <w:pStyle w:val="ListBullet"/>
        <w:spacing w:after="60" w:line="276" w:lineRule="auto"/>
        <w:ind w:right="312"/>
        <w:jc w:val="right"/>
        <w:bidi/>
      </w:pPr>
      <w:r>
        <w:rPr>
          <w:rFonts w:ascii="Arial" w:hAnsi="Arial" w:cs="Arial"/>
          <w:b w:val="0"/>
          <w:sz w:val="20"/>
          <w:rtl/>
        </w:rPr>
        <w:t>نشر أو إتاحة وصف الخدمة وشروطها وقنواتها وبيانات التواصل والاعتراض.</w:t>
      </w:r>
    </w:p>
    <w:p>
      <w:pPr>
        <w:pStyle w:val="ListBullet"/>
        <w:spacing w:after="60" w:line="276" w:lineRule="auto"/>
        <w:ind w:right="312"/>
        <w:jc w:val="right"/>
        <w:bidi/>
      </w:pPr>
      <w:r>
        <w:rPr>
          <w:rFonts w:ascii="Arial" w:hAnsi="Arial" w:cs="Arial"/>
          <w:b w:val="0"/>
          <w:sz w:val="20"/>
          <w:rtl/>
        </w:rPr>
        <w:t>تدريب مقدمي الخدمة على التعامل المهني والسرية والحماية وعدم التمييز.</w:t>
      </w:r>
    </w:p>
    <w:p>
      <w:pPr>
        <w:pStyle w:val="ListBullet"/>
        <w:spacing w:after="60" w:line="276" w:lineRule="auto"/>
        <w:ind w:right="312"/>
        <w:jc w:val="right"/>
        <w:bidi/>
      </w:pPr>
      <w:r>
        <w:rPr>
          <w:rFonts w:ascii="Arial" w:hAnsi="Arial" w:cs="Arial"/>
          <w:b w:val="0"/>
          <w:sz w:val="20"/>
          <w:rtl/>
        </w:rPr>
        <w:t>فصل الدراسة والتوصية والاعتماد كلما أمكن، وإدارة تعارض المصالح.</w:t>
      </w:r>
    </w:p>
    <w:p>
      <w:pPr>
        <w:pStyle w:val="ListBullet"/>
        <w:spacing w:after="60" w:line="276" w:lineRule="auto"/>
        <w:ind w:right="312"/>
        <w:jc w:val="right"/>
        <w:bidi/>
      </w:pPr>
      <w:r>
        <w:rPr>
          <w:rFonts w:ascii="Arial" w:hAnsi="Arial" w:cs="Arial"/>
          <w:b w:val="0"/>
          <w:sz w:val="20"/>
          <w:rtl/>
        </w:rPr>
        <w:t>توفير سجل للطلبات والقرارات والمراسلات والشكاوى وفق الصلاحيات.</w:t>
      </w:r>
    </w:p>
    <w:p>
      <w:pPr>
        <w:pStyle w:val="ListBullet"/>
        <w:spacing w:after="60" w:line="276" w:lineRule="auto"/>
        <w:ind w:right="312"/>
        <w:jc w:val="right"/>
        <w:bidi/>
      </w:pPr>
      <w:r>
        <w:rPr>
          <w:rFonts w:ascii="Arial" w:hAnsi="Arial" w:cs="Arial"/>
          <w:b w:val="0"/>
          <w:sz w:val="20"/>
          <w:rtl/>
        </w:rPr>
        <w:t>تقديم ترتيبات تيسيرية معقولة للفئات المحتاجة متى كانت ممكنة ولا تغير جوهر الأهلية.</w:t>
      </w:r>
    </w:p>
    <w:p>
      <w:pPr>
        <w:pStyle w:val="ListBullet"/>
        <w:spacing w:after="60" w:line="276" w:lineRule="auto"/>
        <w:ind w:right="312"/>
        <w:jc w:val="right"/>
        <w:bidi/>
      </w:pPr>
      <w:r>
        <w:rPr>
          <w:rFonts w:ascii="Arial" w:hAnsi="Arial" w:cs="Arial"/>
          <w:b w:val="0"/>
          <w:sz w:val="20"/>
          <w:rtl/>
        </w:rPr>
        <w:t>قياس رضا المستفيدين وتحليل الشكاوى والقرارات المتكررة وتنفيذ فرص التحسين.</w:t>
      </w:r>
    </w:p>
    <w:p>
      <w:pPr>
        <w:spacing w:before="180" w:after="100" w:line="281" w:lineRule="auto"/>
        <w:jc w:val="right"/>
        <w:keepNext/>
        <w:bidi/>
      </w:pPr>
      <w:r>
        <w:rPr>
          <w:rFonts w:ascii="Arial" w:hAnsi="Arial" w:cs="Arial"/>
          <w:b/>
          <w:color w:val="084C61"/>
          <w:sz w:val="30"/>
          <w:rtl/>
        </w:rPr>
        <w:t>6. رحلة تقديم الخدمة</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493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المخرج</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التعريف</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إتاحة وصف الخدمة والشروط والمستندات والقنوات والمدة التقديرية.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معلومة واضحة قبل الطلب</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التقديم</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استقبال الطلب ومنحه رقمًا مرجعيًا وتأكيد استلامه متى أمكن.</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مسجل</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مراجعة اكتمال البيانات والمستندات والتحقق المتناسب من صحتها.</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مكتمل أو طلب استكمال</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الدراسة</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تطبيق معايير الأهلية والأولوية وتوثيق النتيجة والتعارض.</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توصية مبررة</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الاعتماد</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القرار من صاحب الصلاحية أو اللجنة المخولة.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قرار نافذ</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الإشعار</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إبلاغ المستفيد بالحالة والنتيجة والأسباب وقناة الاعتراض.</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إشعار موثق</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التنفيذ</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الخدمة وتوثيق الاستلام أو الحضور أو الإنجاز والمتابعة.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خدمة موثقة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الإغلاق</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قياس الرضا وإغلاق الملف أو تحويله لمتابعة لاحقة.</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ملف مغلق أو متابعة</w:t>
            </w:r>
          </w:p>
        </w:tc>
      </w:tr>
    </w:tbl>
    <w:p>
      <w:pPr>
        <w:spacing w:after="20"/>
      </w:pPr>
    </w:p>
    <w:p>
      <w:pPr>
        <w:spacing w:before="120" w:after="100" w:line="281" w:lineRule="auto"/>
        <w:jc w:val="right"/>
        <w:keepNext/>
        <w:bidi/>
      </w:pPr>
      <w:r>
        <w:rPr>
          <w:rFonts w:ascii="Arial" w:hAnsi="Arial" w:cs="Arial"/>
          <w:b/>
          <w:color w:val="2F7D59"/>
          <w:sz w:val="25"/>
          <w:rtl/>
        </w:rPr>
        <w:t>معايير القرار والأولوية</w:t>
      </w:r>
    </w:p>
    <w:p>
      <w:pPr>
        <w:pStyle w:val="ListBullet"/>
        <w:spacing w:after="60" w:line="276" w:lineRule="auto"/>
        <w:ind w:right="312"/>
        <w:jc w:val="right"/>
        <w:bidi/>
      </w:pPr>
      <w:r>
        <w:rPr>
          <w:rFonts w:ascii="Arial" w:hAnsi="Arial" w:cs="Arial"/>
          <w:b w:val="0"/>
          <w:sz w:val="20"/>
          <w:rtl/>
        </w:rPr>
        <w:t>لا يعتمد معيار جديد أو استثناء فردي إلا من صاحب الصلاحية ويوثق سببه ونطاقه.</w:t>
      </w:r>
    </w:p>
    <w:p>
      <w:pPr>
        <w:pStyle w:val="ListBullet"/>
        <w:spacing w:after="60" w:line="276" w:lineRule="auto"/>
        <w:ind w:right="312"/>
        <w:jc w:val="right"/>
        <w:bidi/>
      </w:pPr>
      <w:r>
        <w:rPr>
          <w:rFonts w:ascii="Arial" w:hAnsi="Arial" w:cs="Arial"/>
          <w:b w:val="0"/>
          <w:sz w:val="20"/>
          <w:rtl/>
        </w:rPr>
        <w:t>عند محدودية الموارد تطبق أولوية معلنة أو معتمدة مثل شدة الحاجة والأثر والانتظار والتوزيع العادل.</w:t>
      </w:r>
    </w:p>
    <w:p>
      <w:pPr>
        <w:pStyle w:val="ListBullet"/>
        <w:spacing w:after="60" w:line="276" w:lineRule="auto"/>
        <w:ind w:right="312"/>
        <w:jc w:val="right"/>
        <w:bidi/>
      </w:pPr>
      <w:r>
        <w:rPr>
          <w:rFonts w:ascii="Arial" w:hAnsi="Arial" w:cs="Arial"/>
          <w:b w:val="0"/>
          <w:sz w:val="20"/>
          <w:rtl/>
        </w:rPr>
        <w:t>إذا لم تكتمل البيانات يبلغ المستفيد بالنواقص والمدة المتاحة للاستكمال، ولا يرفض الطلب تلقائيًا إذا أمكن استكماله بطريقة ميسرة.</w:t>
      </w:r>
    </w:p>
    <w:p>
      <w:pPr>
        <w:pStyle w:val="ListBullet"/>
        <w:spacing w:after="60" w:line="276" w:lineRule="auto"/>
        <w:ind w:right="312"/>
        <w:jc w:val="right"/>
        <w:bidi/>
      </w:pPr>
      <w:r>
        <w:rPr>
          <w:rFonts w:ascii="Arial" w:hAnsi="Arial" w:cs="Arial"/>
          <w:b w:val="0"/>
          <w:sz w:val="20"/>
          <w:rtl/>
        </w:rPr>
        <w:t>تستخدم قائمة انتظار واضحة عند انطباقها، ويحدث ترتيبها وفق المعايير دون وعود غير معتمدة.</w:t>
      </w:r>
    </w:p>
    <w:p>
      <w:pPr>
        <w:spacing w:before="180" w:after="100" w:line="281" w:lineRule="auto"/>
        <w:jc w:val="right"/>
        <w:keepNext/>
        <w:bidi/>
      </w:pPr>
      <w:r>
        <w:rPr>
          <w:rFonts w:ascii="Arial" w:hAnsi="Arial" w:cs="Arial"/>
          <w:b/>
          <w:color w:val="084C61"/>
          <w:sz w:val="30"/>
          <w:rtl/>
        </w:rPr>
        <w:t>7. التواصل وإتاحة الخدمة</w:t>
      </w:r>
    </w:p>
    <w:p>
      <w:pPr>
        <w:pStyle w:val="ListBullet"/>
        <w:spacing w:after="60" w:line="276" w:lineRule="auto"/>
        <w:ind w:right="312"/>
        <w:jc w:val="right"/>
        <w:bidi/>
      </w:pPr>
      <w:r>
        <w:rPr>
          <w:rFonts w:ascii="Arial" w:hAnsi="Arial" w:cs="Arial"/>
          <w:b w:val="0"/>
          <w:sz w:val="20"/>
          <w:rtl/>
        </w:rPr>
        <w:t>تستخدم القنوات الرسمية: الموقع والبريد والهاتف والنماذج والحضور وأي قناة تعتمدها الجمعية.</w:t>
      </w:r>
    </w:p>
    <w:p>
      <w:pPr>
        <w:pStyle w:val="ListBullet"/>
        <w:spacing w:after="60" w:line="276" w:lineRule="auto"/>
        <w:ind w:right="312"/>
        <w:jc w:val="right"/>
        <w:bidi/>
      </w:pPr>
      <w:r>
        <w:rPr>
          <w:rFonts w:ascii="Arial" w:hAnsi="Arial" w:cs="Arial"/>
          <w:b w:val="0"/>
          <w:sz w:val="20"/>
          <w:rtl/>
        </w:rPr>
        <w:t>تكون الرسائل واضحة ومختصرة، ويشرح القرار أو الإجراء بلغة يفهمها المستفيد.</w:t>
      </w:r>
    </w:p>
    <w:p>
      <w:pPr>
        <w:pStyle w:val="ListBullet"/>
        <w:spacing w:after="60" w:line="276" w:lineRule="auto"/>
        <w:ind w:right="312"/>
        <w:jc w:val="right"/>
        <w:bidi/>
      </w:pPr>
      <w:r>
        <w:rPr>
          <w:rFonts w:ascii="Arial" w:hAnsi="Arial" w:cs="Arial"/>
          <w:b w:val="0"/>
          <w:sz w:val="20"/>
          <w:rtl/>
        </w:rPr>
        <w:t>توفر بدائل مناسبة عند تعذر القناة الرقمية، وتراعى إمكانية الوصول واحتياجات التواصل متى أمكن.</w:t>
      </w:r>
    </w:p>
    <w:p>
      <w:pPr>
        <w:pStyle w:val="ListBullet"/>
        <w:spacing w:after="60" w:line="276" w:lineRule="auto"/>
        <w:ind w:right="312"/>
        <w:jc w:val="right"/>
        <w:bidi/>
      </w:pPr>
      <w:r>
        <w:rPr>
          <w:rFonts w:ascii="Arial" w:hAnsi="Arial" w:cs="Arial"/>
          <w:b w:val="0"/>
          <w:sz w:val="20"/>
          <w:rtl/>
        </w:rPr>
        <w:t>لا ترسل بيانات حساسة عبر قناة غير آمنة، ويتحقق من هوية المستفيد قبل الإفصاح عن تفاصيل ملفه.</w:t>
      </w:r>
    </w:p>
    <w:p>
      <w:r>
        <w:br w:type="page"/>
      </w:r>
    </w:p>
    <w:p>
      <w:pPr>
        <w:spacing w:before="180" w:after="100" w:line="281" w:lineRule="auto"/>
        <w:jc w:val="right"/>
        <w:keepNext/>
        <w:bidi/>
      </w:pPr>
      <w:r>
        <w:rPr>
          <w:rFonts w:ascii="Arial" w:hAnsi="Arial" w:cs="Arial"/>
          <w:b/>
          <w:color w:val="084C61"/>
          <w:sz w:val="30"/>
          <w:rtl/>
        </w:rPr>
        <w:t>8. الشكوى والاعتراض</w:t>
      </w:r>
    </w:p>
    <w:p>
      <w:pPr>
        <w:spacing w:before="0" w:after="100" w:line="281" w:lineRule="auto"/>
        <w:jc w:val="right"/>
        <w:keepNext w:val="0"/>
        <w:bidi/>
      </w:pPr>
      <w:r>
        <w:rPr>
          <w:rFonts w:ascii="Arial" w:hAnsi="Arial" w:cs="Arial"/>
          <w:b w:val="0"/>
          <w:sz w:val="20"/>
          <w:rtl/>
        </w:rPr>
        <w:t>تدار الشكاوى والاستفسارات والمقترحات وفق السياسة المعتمدة لذلك، بما يشمل الرقم المرجعي والمدد والتصعيد والسرية وعدم الانتقام. ولا يؤثر تقديمها حسن النية على أهلية المستفيد أو ترتيب طلبه.</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المسار</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شكوى على جودة الخدمة أو التعامل</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تسجل وتحال للجهة المختصة وتطبق مدد سياسة الشكاوى.</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اعتراض على قرار الأهلية أو الأولوية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يقدم خلال المدة المعلنة مع الأسباب أو المعلومات الجديدة، ويراجع من مستوى أعلى أو لجنة لم تشارك في القرار الأول.</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بلاغ مخالفة أو إساءة أو احتيال</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يحال فورًا إلى سياسة الإبلاغ عن المخالفات أو مسار الحماية المناسب.</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حادث خصوصية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يحال إلى إجراء حوادث البيانات دون تعطيل حق المستفيد في متابعة الخدمة.</w:t>
            </w:r>
          </w:p>
        </w:tc>
      </w:tr>
    </w:tbl>
    <w:p>
      <w:pPr>
        <w:spacing w:after="20"/>
      </w:pPr>
    </w:p>
    <w:p>
      <w:pPr>
        <w:spacing w:before="180" w:after="100" w:line="281" w:lineRule="auto"/>
        <w:jc w:val="right"/>
        <w:keepNext/>
        <w:bidi/>
      </w:pPr>
      <w:r>
        <w:rPr>
          <w:rFonts w:ascii="Arial" w:hAnsi="Arial" w:cs="Arial"/>
          <w:b/>
          <w:color w:val="084C61"/>
          <w:sz w:val="30"/>
          <w:rtl/>
        </w:rPr>
        <w:t>9. الخصوصية وحفظ السجلات</w:t>
      </w:r>
    </w:p>
    <w:p>
      <w:pPr>
        <w:pStyle w:val="ListBullet"/>
        <w:spacing w:after="60" w:line="276" w:lineRule="auto"/>
        <w:ind w:right="312"/>
        <w:jc w:val="right"/>
        <w:bidi/>
      </w:pPr>
      <w:r>
        <w:rPr>
          <w:rFonts w:ascii="Arial" w:hAnsi="Arial" w:cs="Arial"/>
          <w:b w:val="0"/>
          <w:sz w:val="20"/>
          <w:rtl/>
        </w:rPr>
        <w:t>يعرض إشعار خصوصية واضح عند جمع البيانات يبين الغرض والمسوغ والاستخدام والإفصاح والحفظ والحقوق وقنوات التواصل.</w:t>
      </w:r>
    </w:p>
    <w:p>
      <w:pPr>
        <w:pStyle w:val="ListBullet"/>
        <w:spacing w:after="60" w:line="276" w:lineRule="auto"/>
        <w:ind w:right="312"/>
        <w:jc w:val="right"/>
        <w:bidi/>
      </w:pPr>
      <w:r>
        <w:rPr>
          <w:rFonts w:ascii="Arial" w:hAnsi="Arial" w:cs="Arial"/>
          <w:b w:val="0"/>
          <w:sz w:val="20"/>
          <w:rtl/>
        </w:rPr>
        <w:t>يجمع الحد الأدنى اللازم للأهلية والخدمة والمتابعة والامتثال، ولا يعاد استخدامه لغرض غير متوافق دون مسوغ.</w:t>
      </w:r>
    </w:p>
    <w:p>
      <w:pPr>
        <w:pStyle w:val="ListBullet"/>
        <w:spacing w:after="60" w:line="276" w:lineRule="auto"/>
        <w:ind w:right="312"/>
        <w:jc w:val="right"/>
        <w:bidi/>
      </w:pPr>
      <w:r>
        <w:rPr>
          <w:rFonts w:ascii="Arial" w:hAnsi="Arial" w:cs="Arial"/>
          <w:b w:val="0"/>
          <w:sz w:val="20"/>
          <w:rtl/>
        </w:rPr>
        <w:t>يقصر الوصول على الأدوار المخولة، وتحمى الملفات الورقية والإلكترونية من الفقد والتعديل والوصول غير المشروع.</w:t>
      </w:r>
    </w:p>
    <w:p>
      <w:pPr>
        <w:pStyle w:val="ListBullet"/>
        <w:spacing w:after="60" w:line="276" w:lineRule="auto"/>
        <w:ind w:right="312"/>
        <w:jc w:val="right"/>
        <w:bidi/>
      </w:pPr>
      <w:r>
        <w:rPr>
          <w:rFonts w:ascii="Arial" w:hAnsi="Arial" w:cs="Arial"/>
          <w:b w:val="0"/>
          <w:sz w:val="20"/>
          <w:rtl/>
        </w:rPr>
        <w:t>لا يفصح عن بيانات المستفيد إلا بموافقته أو بمسوغ نظامي، وبالحد الأدنى اللازم مع توثيق الإفصاح.</w:t>
      </w:r>
    </w:p>
    <w:p>
      <w:pPr>
        <w:pStyle w:val="ListBullet"/>
        <w:spacing w:after="60" w:line="276" w:lineRule="auto"/>
        <w:ind w:right="312"/>
        <w:jc w:val="right"/>
        <w:bidi/>
      </w:pPr>
      <w:r>
        <w:rPr>
          <w:rFonts w:ascii="Arial" w:hAnsi="Arial" w:cs="Arial"/>
          <w:b w:val="0"/>
          <w:sz w:val="20"/>
          <w:rtl/>
        </w:rPr>
        <w:t>تحفظ السجلات وفق جدول حفظ معتمد، ثم تتلف أو تخفى هويتها بأمان بعد انتهاء الغرض والمدة ما لم يلزم الاحتفاظ لنزاع أو تحقيق أو متطلب نظامي.</w:t>
      </w:r>
    </w:p>
    <w:p>
      <w:pPr>
        <w:spacing w:before="180" w:after="100" w:line="281" w:lineRule="auto"/>
        <w:jc w:val="right"/>
        <w:keepNext/>
        <w:bidi/>
      </w:pPr>
      <w:r>
        <w:rPr>
          <w:rFonts w:ascii="Arial" w:hAnsi="Arial" w:cs="Arial"/>
          <w:b/>
          <w:color w:val="084C61"/>
          <w:sz w:val="30"/>
          <w:rtl/>
        </w:rPr>
        <w:t>10. الحماية والسلامة</w:t>
      </w:r>
    </w:p>
    <w:p>
      <w:pPr>
        <w:pStyle w:val="ListBullet"/>
        <w:spacing w:after="60" w:line="276" w:lineRule="auto"/>
        <w:ind w:right="312"/>
        <w:jc w:val="right"/>
        <w:bidi/>
      </w:pPr>
      <w:r>
        <w:rPr>
          <w:rFonts w:ascii="Arial" w:hAnsi="Arial" w:cs="Arial"/>
          <w:b w:val="0"/>
          <w:sz w:val="20"/>
          <w:rtl/>
        </w:rPr>
        <w:t>يحظر استغلال المستفيد ماليًا أو مهنيًا أو اجتماعيًا أو طلب منفعة شخصية مقابل الخدمة.</w:t>
      </w:r>
    </w:p>
    <w:p>
      <w:pPr>
        <w:pStyle w:val="ListBullet"/>
        <w:spacing w:after="60" w:line="276" w:lineRule="auto"/>
        <w:ind w:right="312"/>
        <w:jc w:val="right"/>
        <w:bidi/>
      </w:pPr>
      <w:r>
        <w:rPr>
          <w:rFonts w:ascii="Arial" w:hAnsi="Arial" w:cs="Arial"/>
          <w:b w:val="0"/>
          <w:sz w:val="20"/>
          <w:rtl/>
        </w:rPr>
        <w:t>تصعد فورًا أي شبهة إساءة أو تحرش أو عنف أو إهمال أو خطر على السلامة وفق مسار الحماية والجهات المختصة.</w:t>
      </w:r>
    </w:p>
    <w:p>
      <w:pPr>
        <w:pStyle w:val="ListBullet"/>
        <w:spacing w:after="60" w:line="276" w:lineRule="auto"/>
        <w:ind w:right="312"/>
        <w:jc w:val="right"/>
        <w:bidi/>
      </w:pPr>
      <w:r>
        <w:rPr>
          <w:rFonts w:ascii="Arial" w:hAnsi="Arial" w:cs="Arial"/>
          <w:b w:val="0"/>
          <w:sz w:val="20"/>
          <w:rtl/>
        </w:rPr>
        <w:t>تراعى موافقة المستفيد المستنيرة في الأنشطة التي تتضمن تصويرًا أو نشرًا أو مشاركة بيانات، ولا تعد الموافقة شرطًا للخدمة إلا لضرورة مرتبطة بها.</w:t>
      </w:r>
    </w:p>
    <w:p>
      <w:pPr>
        <w:pStyle w:val="ListBullet"/>
        <w:spacing w:after="60" w:line="276" w:lineRule="auto"/>
        <w:ind w:right="312"/>
        <w:jc w:val="right"/>
        <w:bidi/>
      </w:pPr>
      <w:r>
        <w:rPr>
          <w:rFonts w:ascii="Arial" w:hAnsi="Arial" w:cs="Arial"/>
          <w:b w:val="0"/>
          <w:sz w:val="20"/>
          <w:rtl/>
        </w:rPr>
        <w:t>تقيم مخاطر الأنشطة الصحية أو الميدانية أو التي تشمل فئات حساسة، وتحدد الضوابط والمسؤول والاستجابة للطوارئ.</w:t>
      </w:r>
    </w:p>
    <w:p>
      <w:pPr>
        <w:spacing w:before="180" w:after="100" w:line="281" w:lineRule="auto"/>
        <w:jc w:val="right"/>
        <w:keepNext/>
        <w:bidi/>
      </w:pPr>
      <w:r>
        <w:rPr>
          <w:rFonts w:ascii="Arial" w:hAnsi="Arial" w:cs="Arial"/>
          <w:b/>
          <w:color w:val="084C61"/>
          <w:sz w:val="30"/>
          <w:rtl/>
        </w:rPr>
        <w:t>11. المسؤوليات واللجان</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الجهة</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المسؤوليات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السياسة والرقابة على مؤشرات الخدمة والحقوق والمخاطر الجوهرية.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المدير التنفيذي</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الإشراف على التطبيق واعتماد الإجراءات والقرارات ضمن الصلاحية ومعالجة التصعيد.</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الوحدة مقدمة الخدمة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شرح الشروط واستقبال الطلب ودراسته وتقديم الخدمة والتوثيق والمتابعة.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وحدة الدعم الإداري</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تنسيق القنوات والسجلات والمراسلات والشكاوى والتقارير والدعم اللوجستي.</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لجنة دراسة الطلبات والاعتراضات</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تشكل بقرار عند الحاجة، ويحدد اختصاصها وأعضاؤها ومدتها وصلاحيتها، وتطبق معايير الأهلية والأولوية وتفصح عن التعارض وتوثق محاضرها.</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العاملون والمتطوعون والمتعاونون</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الالتزام بالاحترام والسرية والحماية والتعليمات والإبلاغ عن المخاطر والمخالفات.</w:t>
            </w:r>
          </w:p>
        </w:tc>
      </w:tr>
    </w:tbl>
    <w:p>
      <w:pPr>
        <w:spacing w:after="20"/>
      </w:pPr>
    </w:p>
    <w:p>
      <w:pPr>
        <w:spacing w:before="180" w:after="100" w:line="281" w:lineRule="auto"/>
        <w:jc w:val="right"/>
        <w:keepNext/>
        <w:bidi/>
      </w:pPr>
      <w:r>
        <w:rPr>
          <w:rFonts w:ascii="Arial" w:hAnsi="Arial" w:cs="Arial"/>
          <w:b/>
          <w:color w:val="084C61"/>
          <w:sz w:val="30"/>
          <w:rtl/>
        </w:rPr>
        <w:t>12. الرضا والتحسين والمراجعة</w:t>
      </w:r>
    </w:p>
    <w:p>
      <w:pPr>
        <w:pStyle w:val="ListBullet"/>
        <w:spacing w:after="60" w:line="276" w:lineRule="auto"/>
        <w:ind w:right="312"/>
        <w:jc w:val="right"/>
        <w:bidi/>
      </w:pPr>
      <w:r>
        <w:rPr>
          <w:rFonts w:ascii="Arial" w:hAnsi="Arial" w:cs="Arial"/>
          <w:b w:val="0"/>
          <w:sz w:val="20"/>
          <w:rtl/>
        </w:rPr>
        <w:t>يطبق قياس رضا المستفيدين وفق الآلية المعتمدة، ويشمل سهولة الوصول والوضوح والمدة والاحترام وجودة النتيجة.</w:t>
      </w:r>
    </w:p>
    <w:p>
      <w:pPr>
        <w:pStyle w:val="ListBullet"/>
        <w:spacing w:after="60" w:line="276" w:lineRule="auto"/>
        <w:ind w:right="312"/>
        <w:jc w:val="right"/>
        <w:bidi/>
      </w:pPr>
      <w:r>
        <w:rPr>
          <w:rFonts w:ascii="Arial" w:hAnsi="Arial" w:cs="Arial"/>
          <w:b w:val="0"/>
          <w:sz w:val="20"/>
          <w:rtl/>
        </w:rPr>
        <w:t>تحلل النتائج والشكاوى والاعتراضات وأسباب الاعتذار وقوائم الانتظار بصورة مجمعة دون كشف بيانات فردية.</w:t>
      </w:r>
    </w:p>
    <w:p>
      <w:pPr>
        <w:pStyle w:val="ListBullet"/>
        <w:spacing w:after="60" w:line="276" w:lineRule="auto"/>
        <w:ind w:right="312"/>
        <w:jc w:val="right"/>
        <w:bidi/>
      </w:pPr>
      <w:r>
        <w:rPr>
          <w:rFonts w:ascii="Arial" w:hAnsi="Arial" w:cs="Arial"/>
          <w:b w:val="0"/>
          <w:sz w:val="20"/>
          <w:rtl/>
        </w:rPr>
        <w:t>توضع خطط تحسين بمسؤول وموعد ومؤشر، وتتابع فاعليتها وترفع النتائج للإدارة التنفيذية ومجلس الإدارة بحسب الأهمية.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المؤشر</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7"/>
                <w:rtl/>
              </w:rPr>
              <w:t>الدورية</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الطلبات التي أبلغ أصحابها بالنتيجة والأسباب</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متوسط زمن تقديم الخدمة أو اتخاذ القرار</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شهري/ربع 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الاعتراضات وتغيير القرار بعد المراجعة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مستوى رضا المستفيدين عن الوصول والوضوح والاحترام</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7"/>
                <w:rtl/>
              </w:rPr>
              <w:t>نصف سنوي/سنوي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نسبة الشكاوى المتكررة وفرص التحسين المنفذة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7"/>
                <w:rtl/>
              </w:rPr>
              <w:t>ربع سنوي</w:t>
            </w:r>
          </w:p>
        </w:tc>
      </w:tr>
    </w:tbl>
    <w:p>
      <w:pPr>
        <w:spacing w:after="20"/>
      </w:pPr>
    </w:p>
    <w:p>
      <w:pPr>
        <w:spacing w:before="120" w:after="100" w:line="281" w:lineRule="auto"/>
        <w:jc w:val="right"/>
        <w:keepNext/>
        <w:bidi/>
      </w:pPr>
      <w:r>
        <w:rPr>
          <w:rFonts w:ascii="Arial" w:hAnsi="Arial" w:cs="Arial"/>
          <w:b/>
          <w:color w:val="2F7D59"/>
          <w:sz w:val="25"/>
          <w:rtl/>
        </w:rPr>
        <w:t>النفاذ والمراجعة</w:t>
      </w:r>
    </w:p>
    <w:p>
      <w:pPr>
        <w:spacing w:before="0" w:after="100" w:line="281" w:lineRule="auto"/>
        <w:jc w:val="right"/>
        <w:keepNext w:val="0"/>
        <w:bidi/>
      </w:pPr>
      <w:r>
        <w:rPr>
          <w:rFonts w:ascii="Arial" w:hAnsi="Arial" w:cs="Arial"/>
          <w:b w:val="0"/>
          <w:sz w:val="20"/>
          <w:rtl/>
        </w:rPr>
        <w:t>تدخل هذه السياسة حيز التنفيذ من تاريخ اعتمادها، وتراجع سنويًا أو عند تغير الأنظمة أو الخدمات أو الهيكل أو قنوات تقديم الخدمة، وتنشر النسخة المعتمدة المناسبة للمستفيدين مع رابط مباشر إلى صفحة الشكاوى وإشعار الخصوصية.</w:t>
      </w:r>
    </w:p>
    <w:p>
      <w:r>
        <w:br w:type="page"/>
      </w:r>
    </w:p>
    <w:p>
      <w:pPr>
        <w:pStyle w:val="Heading1"/>
        <w:jc w:val="right"/>
        <w:keepNext/>
        <w:bidi/>
      </w:pPr>
      <w:r>
        <w:t>13. السياسات والآليات المرتبطة</w:t>
      </w:r>
    </w:p>
    <w:p>
      <w:pPr>
        <w:pStyle w:val="ListBullet"/>
        <w:spacing w:after="60"/>
        <w:jc w:val="right"/>
        <w:bidi/>
      </w:pPr>
      <w:r>
        <w:rPr>
          <w:rFonts w:ascii="Arial" w:hAnsi="Arial" w:cs="Arial"/>
          <w:b w:val="0"/>
          <w:color w:val="173642"/>
          <w:sz w:val="20"/>
        </w:rPr>
        <w:t>تدار الشكاوى والمقترحات وفق سياسة التعامل مع الشكاوى ونموذج CS-F01، ولا تكرر مدد مختلفة داخل هذه السياسة.</w:t>
      </w:r>
    </w:p>
    <w:p>
      <w:pPr>
        <w:pStyle w:val="ListBullet"/>
        <w:spacing w:after="60"/>
        <w:jc w:val="right"/>
        <w:bidi/>
      </w:pPr>
      <w:r>
        <w:rPr>
          <w:rFonts w:ascii="Arial" w:hAnsi="Arial" w:cs="Arial"/>
          <w:b w:val="0"/>
          <w:color w:val="173642"/>
          <w:sz w:val="20"/>
        </w:rPr>
        <w:t>تدار البيانات الشخصية وفق سياسة الخصوصية وسجل PRIV-R01 وإجراءات الحوادث.</w:t>
      </w:r>
    </w:p>
    <w:p>
      <w:pPr>
        <w:pStyle w:val="ListBullet"/>
        <w:spacing w:after="60"/>
        <w:jc w:val="right"/>
        <w:bidi/>
      </w:pPr>
      <w:r>
        <w:rPr>
          <w:rFonts w:ascii="Arial" w:hAnsi="Arial" w:cs="Arial"/>
          <w:b w:val="0"/>
          <w:color w:val="173642"/>
          <w:sz w:val="20"/>
        </w:rPr>
        <w:t>تدار قياسات الرضا وفق آلية قياس مستوى الرضا وأدواتها المعتمدة، وتعد المستهدفات داخلية مقترحة.</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BEN-F01 — نموذج طلب خدمة أو استفادة</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اسم المستفيد/الرمز</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الخدمة أو البرنامج</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وسيلة التواصل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المتطلبات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المرفقات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نتيجة التحقق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الإبلاغ</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BEN-R01 — سجل طلبات وخدمات المستفيدين</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رقم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المستفيد/الرمز</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الخدمة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الطلب</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الحالة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القرار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تاريخ التنفيذ</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الملاحظات التشغيلية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CS-F01 — نموذج المقترحات والشكاوى والاستفسارات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نوع الطلب</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التقديم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القناة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بيانات التواصل اختيارية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الموضوع</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التفاصيل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المرفقات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أولوية الحالة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الإغلاق</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PRIV-R01 — سجل أنشطة معالجة البيانات</w:t>
      </w:r>
    </w:p>
    <w:tbl>
      <w:tblPr>
        <w:tblW w:type="auto" w:w="0"/>
        <w:jc w:val="center"/>
        <w:tblLayout w:type="fixed"/>
        <w:tblLook w:firstColumn="1" w:firstRow="1" w:lastColumn="0" w:lastRow="0" w:noHBand="0" w:noVBand="1" w:val="04A0"/>
      </w:tblPr>
      <w:tblGrid>
        <w:gridCol w:w="2952"/>
        <w:gridCol w:w="6264"/>
      </w:tblGrid>
      <w:tr>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89"/>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النشاط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فئات البيانات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فئات أصحاب البيانات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الأساس النظامي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المستلمون</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النقل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مدة الحفظ</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الضوابط</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المالك</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تنظيم العلاقة مع المستفيدين النسخة النهائية</dc:title>
  <dc:subject>نسخة معتمدة متضمنة ملحق النماذج والسجلات</dc:subject>
  <dc:creator>جمعية البلسم للتدريب والتطوير الصحي</dc:creator>
  <cp:keywords>المستفيدون، الحقوق، الواجبات، الخدمات، الاعتراضات، الخصوصية</cp:keywords>
  <dc:description>generated by python-docx</dc:description>
  <cp:lastModifiedBy/>
  <cp:revision>1</cp:revision>
  <dcterms:created xsi:type="dcterms:W3CDTF">2013-12-23T23:15:00Z</dcterms:created>
  <dcterms:modified xsi:type="dcterms:W3CDTF">2013-12-23T23:15:00Z</dcterms:modified>
  <cp:category/>
</cp:coreProperties>
</file>