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160" w:line="281" w:lineRule="auto"/>
        <w:jc w:val="right"/>
        <w:keepNext w:val="0"/>
        <w:bidi/>
      </w:pPr>
      <w:r>
        <w:rPr>
          <w:rFonts w:ascii="Arial" w:hAnsi="Arial" w:cs="Arial"/>
          <w:b w:val="0"/>
          <w:sz w:val="21"/>
          <w:rtl/>
        </w:rPr>
      </w:r>
    </w:p>
    <w:p>
      <w:pPr>
        <w:spacing w:before="0" w:after="200" w:line="281" w:lineRule="auto"/>
        <w:jc w:val="center"/>
        <w:keepNext w:val="0"/>
        <w:bidi/>
      </w:pPr>
      <w:r>
        <w:rPr>
          <w:rFonts w:ascii="Arial" w:hAnsi="Arial" w:cs="Arial"/>
          <w:b/>
          <w:color w:val="084C61"/>
          <w:sz w:val="46"/>
          <w:rtl/>
        </w:rPr>
        <w:t>سياسة التعامل مع الشكاوى والاستفسارات والمقترحات</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40" w:line="281" w:lineRule="auto"/>
        <w:jc w:val="center"/>
        <w:keepNext w:val="0"/>
        <w:bidi/>
      </w:pPr>
      <w:r>
        <w:rPr>
          <w:rFonts w:ascii="Arial" w:hAnsi="Arial" w:cs="Arial"/>
          <w:b w:val="0"/>
          <w:color w:val="5A6770"/>
          <w:sz w:val="22"/>
          <w:rtl/>
        </w:rPr>
        <w:t>إطار موحد للاستقبال والمعالجة والتصعيد والتحسين</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1"/>
          <w:rtl/>
        </w:rPr>
        <w:t>اعتمد مجلس إدارة جمعية البلسم للتدريب والتطوير الصحي هذه السياسة، ويلتزم جميع منسوبي الجمعية بتطبيقها من تاريخ نفاذها، وتحل محل أي أحكام سابقة تتعارض معها في نطاق الشكاوى والاستفسارات والمقترحات.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التعامل مع الشكاوى والاستفسارات والمقترحات</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الإدارة التنفيذية ووحدة الدعم الإداري والوحدات المختصة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الأنظمة أو القنوات أو الهيكل</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النطاق</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الشكاوى والاستفسارات والمقترحات المقدمة من المستفيدين والمتبرعين والمتطوعين والموظفين والشركاء وأفراد المجتمع</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الوثائق المكملة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سياسة تنظيم العلاقة مع المستفيدين، سياسة الإبلاغ عن المخالفات، سياسة خصوصية البيانات، وآلية قياس الرضا</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درجة الإتاحة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السياسة وقنوات التقديم والمدد قابلة للنشر؛ السجل والتحقيقات والبيانات الشخصية داخلية مقيدة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النموذج المرتبط</w:t>
            </w:r>
          </w:p>
        </w:tc>
        <w:tc>
          <w:tcPr>
            <w:tcW w:type="dxa" w:w="6803"/>
            <w:vAlign w:val="center"/>
            <w:shd w:fill="F3F8F6"/>
            <w:tcMar>
              <w:top w:w="85" w:type="dxa"/>
              <w:bottom w:w="85" w:type="dxa"/>
              <w:start w:w="110" w:type="dxa"/>
              <w:end w:w="110" w:type="dxa"/>
            </w:tcMar>
          </w:tcPr>
          <w:p>
            <w:r>
              <w:t>CS-F01 — نموذج المقترحات والشكاوى والاستفسارات</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الاستفسارات والمقترحات</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والحقوق</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المدد والتصعيد</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القنوات والتسجيل</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السرية والخصوصية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التصنيف والأولوية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المسؤوليات واللجنة</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معالجة الشكاوى</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المتابعة والتحسين</w:t>
            </w:r>
          </w:p>
        </w:tc>
      </w:tr>
    </w:tbl>
    <w:p>
      <w:pPr>
        <w:spacing w:after="20"/>
      </w:pPr>
    </w:p>
    <w:p>
      <w:r>
        <w:br w:type="page"/>
      </w: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1"/>
          <w:rtl/>
        </w:rPr>
        <w:t>تنظيم استقبال الشكاوى والاستفسارات والمقترحات ومعالجتها بعدالة وحياد وسرعة، وحماية مقدمها، وتحويل النتائج إلى إجراءات تصحيحية وتحسينات قابلة للقياس.</w:t>
      </w:r>
    </w:p>
    <w:p>
      <w:pPr>
        <w:spacing w:before="120" w:after="100" w:line="281" w:lineRule="auto"/>
        <w:jc w:val="right"/>
        <w:keepNext/>
        <w:bidi/>
      </w:pPr>
      <w:r>
        <w:rPr>
          <w:rFonts w:ascii="Arial" w:hAnsi="Arial" w:cs="Arial"/>
          <w:b/>
          <w:color w:val="2F7D59"/>
          <w:sz w:val="25"/>
          <w:rtl/>
        </w:rPr>
        <w:t>1.2 نطاق التطبيق</w:t>
      </w:r>
    </w:p>
    <w:p>
      <w:pPr>
        <w:spacing w:before="0" w:after="100" w:line="281" w:lineRule="auto"/>
        <w:jc w:val="right"/>
        <w:keepNext w:val="0"/>
        <w:bidi/>
      </w:pPr>
      <w:r>
        <w:rPr>
          <w:rFonts w:ascii="Arial" w:hAnsi="Arial" w:cs="Arial"/>
          <w:b w:val="0"/>
          <w:sz w:val="21"/>
          <w:rtl/>
        </w:rPr>
        <w:t>تطبق على ما يرد إلى الجمعية من المستفيدين والمتبرعين والمتطوعين والموظفين والشركاء والموردين وأفراد المجتمع والجهات ذات العلاقة، بشأن خدمات الجمعية أو برامجها أو قراراتها أو تعاملات منسوبيها.</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الشكوى</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تعبير عن عدم رضا تجاه خدمة أو إجراء أو تصرف أو قرار أو تقصير منسوب إلى الجمعية أو أحد منسوبيها.</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الاستفسار</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طلب معلومة أو توضيح يتعلق بخدمات الجمعية أو برامجها أو إجراءاتها.</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المقترح</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فكرة أو توصية لتطوير خدمة أو إجراء أو أداء.</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التظلم</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طلب مراجعة نتيجة الشكوى أو الإجراء المتخذ بشأنها استنادًا إلى أسباب أو معلومات محددة.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السجل</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الوسيلة المعتمدة لتوثيق الرقم المرجعي والتصنيف والإحالات والمدد والنتائج والإغلاق.</w:t>
            </w:r>
          </w:p>
        </w:tc>
      </w:tr>
    </w:tbl>
    <w:p>
      <w:pPr>
        <w:spacing w:after="20"/>
      </w:pPr>
    </w:p>
    <w:p>
      <w:pPr>
        <w:spacing w:before="180" w:after="100" w:line="281" w:lineRule="auto"/>
        <w:jc w:val="right"/>
        <w:keepNext/>
        <w:bidi/>
      </w:pPr>
      <w:r>
        <w:rPr>
          <w:rFonts w:ascii="Arial" w:hAnsi="Arial" w:cs="Arial"/>
          <w:b/>
          <w:color w:val="084C61"/>
          <w:sz w:val="30"/>
          <w:rtl/>
        </w:rPr>
        <w:t>2. المبادئ والحقوق</w:t>
      </w:r>
    </w:p>
    <w:p>
      <w:pPr>
        <w:pStyle w:val="ListBullet"/>
        <w:spacing w:after="60" w:line="276" w:lineRule="auto"/>
        <w:ind w:right="312"/>
        <w:jc w:val="right"/>
        <w:bidi/>
      </w:pPr>
      <w:r>
        <w:rPr>
          <w:rFonts w:ascii="Arial" w:hAnsi="Arial" w:cs="Arial"/>
          <w:b w:val="0"/>
          <w:sz w:val="20"/>
          <w:rtl/>
        </w:rPr>
        <w:t>الاحترام والحياد والعدالة وعدم التمييز أو الانتقام من مقدم الطلب حسن النية.</w:t>
      </w:r>
    </w:p>
    <w:p>
      <w:pPr>
        <w:pStyle w:val="ListBullet"/>
        <w:spacing w:after="60" w:line="276" w:lineRule="auto"/>
        <w:ind w:right="312"/>
        <w:jc w:val="right"/>
        <w:bidi/>
      </w:pPr>
      <w:r>
        <w:rPr>
          <w:rFonts w:ascii="Arial" w:hAnsi="Arial" w:cs="Arial"/>
          <w:b w:val="0"/>
          <w:sz w:val="20"/>
          <w:rtl/>
        </w:rPr>
        <w:t>سهولة الوصول للقنوات وإتاحة التقديم دون اشتراط بيانات أكثر من اللازم.</w:t>
      </w:r>
    </w:p>
    <w:p>
      <w:pPr>
        <w:pStyle w:val="ListBullet"/>
        <w:spacing w:after="60" w:line="276" w:lineRule="auto"/>
        <w:ind w:right="312"/>
        <w:jc w:val="right"/>
        <w:bidi/>
      </w:pPr>
      <w:r>
        <w:rPr>
          <w:rFonts w:ascii="Arial" w:hAnsi="Arial" w:cs="Arial"/>
          <w:b w:val="0"/>
          <w:sz w:val="20"/>
          <w:rtl/>
        </w:rPr>
        <w:t>السرية وقصر الاطلاع على من تتطلب مهمته ذلك، مع الفصل عن الملفات العامة.</w:t>
      </w:r>
    </w:p>
    <w:p>
      <w:pPr>
        <w:pStyle w:val="ListBullet"/>
        <w:spacing w:after="60" w:line="276" w:lineRule="auto"/>
        <w:ind w:right="312"/>
        <w:jc w:val="right"/>
        <w:bidi/>
      </w:pPr>
      <w:r>
        <w:rPr>
          <w:rFonts w:ascii="Arial" w:hAnsi="Arial" w:cs="Arial"/>
          <w:b w:val="0"/>
          <w:sz w:val="20"/>
          <w:rtl/>
        </w:rPr>
        <w:t>الاستجابة ضمن المدد المعلنة، وإبلاغ مقدم الطلب عند الحاجة للتمديد.</w:t>
      </w:r>
    </w:p>
    <w:p>
      <w:pPr>
        <w:pStyle w:val="ListBullet"/>
        <w:spacing w:after="60" w:line="276" w:lineRule="auto"/>
        <w:ind w:right="312"/>
        <w:jc w:val="right"/>
        <w:bidi/>
      </w:pPr>
      <w:r>
        <w:rPr>
          <w:rFonts w:ascii="Arial" w:hAnsi="Arial" w:cs="Arial"/>
          <w:b w:val="0"/>
          <w:sz w:val="20"/>
          <w:rtl/>
        </w:rPr>
        <w:t>حق مقدم الشكوى في رقم مرجعي، ومعرفة الحالة، وتلقي نتيجة واضحة، وطلب المراجعة.</w:t>
      </w:r>
    </w:p>
    <w:p>
      <w:pPr>
        <w:pStyle w:val="ListBullet"/>
        <w:spacing w:after="60" w:line="276" w:lineRule="auto"/>
        <w:ind w:right="312"/>
        <w:jc w:val="right"/>
        <w:bidi/>
      </w:pPr>
      <w:r>
        <w:rPr>
          <w:rFonts w:ascii="Arial" w:hAnsi="Arial" w:cs="Arial"/>
          <w:b w:val="0"/>
          <w:sz w:val="20"/>
          <w:rtl/>
        </w:rPr>
        <w:t>قبول الشكوى مجهولة الهوية متى تضمنت معلومات كافية للتحقق، دون ضمان إمكان تزويد مقدمها بالتحديثات.</w:t>
      </w:r>
    </w:p>
    <w:p>
      <w:pPr>
        <w:spacing w:before="180" w:after="100" w:line="281" w:lineRule="auto"/>
        <w:jc w:val="right"/>
        <w:keepNext/>
        <w:bidi/>
      </w:pPr>
      <w:r>
        <w:rPr>
          <w:rFonts w:ascii="Arial" w:hAnsi="Arial" w:cs="Arial"/>
          <w:b/>
          <w:color w:val="084C61"/>
          <w:sz w:val="30"/>
          <w:rtl/>
        </w:rPr>
        <w:t>3. القنوات والتسجيل</w:t>
      </w:r>
    </w:p>
    <w:p>
      <w:pPr>
        <w:pStyle w:val="ListBullet"/>
        <w:spacing w:after="60" w:line="276" w:lineRule="auto"/>
        <w:ind w:right="312"/>
        <w:jc w:val="right"/>
        <w:bidi/>
      </w:pPr>
      <w:r>
        <w:rPr>
          <w:rFonts w:ascii="Arial" w:hAnsi="Arial" w:cs="Arial"/>
          <w:b w:val="0"/>
          <w:sz w:val="20"/>
          <w:rtl/>
        </w:rPr>
        <w:t>البريد الإلكتروني والموقع الإلكتروني والنموذج الإلكتروني والقنوات الرسمية المعتمدة.</w:t>
      </w:r>
    </w:p>
    <w:p>
      <w:pPr>
        <w:pStyle w:val="ListBullet"/>
        <w:spacing w:after="60" w:line="276" w:lineRule="auto"/>
        <w:ind w:right="312"/>
        <w:jc w:val="right"/>
        <w:bidi/>
      </w:pPr>
      <w:r>
        <w:rPr>
          <w:rFonts w:ascii="Arial" w:hAnsi="Arial" w:cs="Arial"/>
          <w:b w:val="0"/>
          <w:sz w:val="20"/>
          <w:rtl/>
        </w:rPr>
        <w:t>الهاتف والحضور إلى مقر الجمعية وصناديق الشكاوى والمقترحات - إن وجدت.</w:t>
      </w:r>
    </w:p>
    <w:p>
      <w:pPr>
        <w:pStyle w:val="ListBullet"/>
        <w:spacing w:after="60" w:line="276" w:lineRule="auto"/>
        <w:ind w:right="312"/>
        <w:jc w:val="right"/>
        <w:bidi/>
      </w:pPr>
      <w:r>
        <w:rPr>
          <w:rFonts w:ascii="Arial" w:hAnsi="Arial" w:cs="Arial"/>
          <w:b w:val="0"/>
          <w:sz w:val="20"/>
          <w:rtl/>
        </w:rPr>
        <w:t>يمنح كل طلب رقمًا مرجعيًا متى توافرت وسيلة تواصل، ويسجل تاريخ الورود والقناة والتصنيف والأولوية والجهة المحال إليها.</w:t>
      </w:r>
    </w:p>
    <w:p>
      <w:pPr>
        <w:pStyle w:val="ListBullet"/>
        <w:spacing w:after="60" w:line="276" w:lineRule="auto"/>
        <w:ind w:right="312"/>
        <w:jc w:val="right"/>
        <w:bidi/>
      </w:pPr>
      <w:r>
        <w:rPr>
          <w:rFonts w:ascii="Arial" w:hAnsi="Arial" w:cs="Arial"/>
          <w:b w:val="0"/>
          <w:sz w:val="20"/>
          <w:rtl/>
        </w:rPr>
        <w:t>إذا وردت الشكوى شفهيًا، يدون الموظف مضمونها كما فهمه ويعرضه على مقدمها للتأكيد متى أمكن.</w:t>
      </w:r>
    </w:p>
    <w:p>
      <w:pPr>
        <w:pStyle w:val="ListBullet"/>
        <w:spacing w:after="60" w:line="276" w:lineRule="auto"/>
        <w:ind w:right="312"/>
        <w:jc w:val="right"/>
        <w:bidi/>
      </w:pPr>
      <w:r>
        <w:rPr>
          <w:rFonts w:ascii="Arial" w:hAnsi="Arial" w:cs="Arial"/>
          <w:b w:val="0"/>
          <w:sz w:val="20"/>
          <w:rtl/>
        </w:rPr>
        <w:t>لا يطلب رقم الهوية أو البيانات الحساسة إلا إذا كان ذلك ضروريًا للتحقق أو تقديم الخدمة أو استيفاء متطلب نظامي.</w:t>
      </w:r>
    </w:p>
    <w:p>
      <w:r>
        <w:br w:type="page"/>
      </w:r>
    </w:p>
    <w:p>
      <w:pPr>
        <w:spacing w:before="180" w:after="100" w:line="281" w:lineRule="auto"/>
        <w:jc w:val="right"/>
        <w:keepNext/>
        <w:bidi/>
      </w:pPr>
      <w:r>
        <w:rPr>
          <w:rFonts w:ascii="Arial" w:hAnsi="Arial" w:cs="Arial"/>
          <w:b/>
          <w:color w:val="084C61"/>
          <w:sz w:val="30"/>
          <w:rtl/>
        </w:rPr>
        <w:t>4. التصنيف والأولوية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التصنيف</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المعالجة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استفسار بسيط</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إجابة مباشرة أو إحالة للجهة المختصة خلال المدة المستهدفة.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شكوى خدمة أو إجراء</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دراسة الوقائع والرد والإجراء التصحيحي عند ثبوتها.</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شكوى سلوك أو إساءة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تصعيد سري للإدارة التنفيذية والتحقق وفق الاختصاص وحماية الأطراف.</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بلاغ مخالفة أو احتيال أو فساد</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يحال فورًا لمسار سياسة الإبلاغ عن المخالفات مع الحفاظ على قناة مقدم البلاغ.</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حادث خصوصية أو تسرب بيانات</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يحال فورًا لمسار حوادث البيانات والجهة المختصة داخليًا.</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خطر على السلامة أو الحياة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تصعيد فوري واتخاذ الإجراء الوقائي اللازم دون انتظار الدورة العادية.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مقترح</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تقييم الجدوى والأثر وإبلاغ صاحبه بما يمكن دون التزام بالتنفيذ.</w:t>
            </w:r>
          </w:p>
        </w:tc>
      </w:tr>
    </w:tbl>
    <w:p>
      <w:pPr>
        <w:spacing w:after="20"/>
      </w:pPr>
    </w:p>
    <w:p>
      <w:pPr>
        <w:spacing w:before="180" w:after="100" w:line="281" w:lineRule="auto"/>
        <w:jc w:val="right"/>
        <w:keepNext/>
        <w:bidi/>
      </w:pPr>
      <w:r>
        <w:rPr>
          <w:rFonts w:ascii="Arial" w:hAnsi="Arial" w:cs="Arial"/>
          <w:b/>
          <w:color w:val="084C61"/>
          <w:sz w:val="30"/>
          <w:rtl/>
        </w:rPr>
        <w:t>5. إجراءات معالجة الشكاوى</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70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487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c>
          <w:tcPr>
            <w:tcW w:type="dxa" w:w="277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المخرج</w:t>
            </w:r>
          </w:p>
        </w:tc>
      </w:tr>
      <w:tr>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الاستلام</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تسجيل الشكوى وفحص اكتمال الحد الأدنى وإرسال تأكيد الاستلام.</w:t>
            </w:r>
          </w:p>
        </w:tc>
        <w:tc>
          <w:tcPr>
            <w:tcW w:type="dxa" w:w="277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مرجعي وحالة أولية</w:t>
            </w:r>
          </w:p>
        </w:tc>
      </w:tr>
      <w:tr>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الفرز</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التصنيف والأولوية والتعارض والجهة المختصة ومسار التصعيد.</w:t>
            </w:r>
          </w:p>
        </w:tc>
        <w:tc>
          <w:tcPr>
            <w:tcW w:type="dxa" w:w="277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إحالة موثقة</w:t>
            </w:r>
          </w:p>
        </w:tc>
      </w:tr>
      <w:tr>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الدراسة</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جمع المعلومات وسماع الأطراف ومراجعة الأدلة والسياسات دون إفشاء غير لازم.</w:t>
            </w:r>
          </w:p>
        </w:tc>
        <w:tc>
          <w:tcPr>
            <w:tcW w:type="dxa" w:w="277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نتيجة ومسوغات</w:t>
            </w:r>
          </w:p>
        </w:tc>
      </w:tr>
      <w:tr>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القرار</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النتيجة والإجراء التصحيحي أو الوقائي من صاحب الصلاحية.</w:t>
            </w:r>
          </w:p>
        </w:tc>
        <w:tc>
          <w:tcPr>
            <w:tcW w:type="dxa" w:w="277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قرار قابل للتنفيذ</w:t>
            </w:r>
          </w:p>
        </w:tc>
      </w:tr>
      <w:tr>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الرد</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إبلاغ مقدم الشكوى بلغة واضحة مع مراعاة سرية الغير والقيود النظامية.</w:t>
            </w:r>
          </w:p>
        </w:tc>
        <w:tc>
          <w:tcPr>
            <w:tcW w:type="dxa" w:w="277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رد موثق</w:t>
            </w:r>
          </w:p>
        </w:tc>
      </w:tr>
      <w:tr>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الإغلاق</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من تنفيذ الإجراء وتوثيق الإغلاق وإتاحة التظلم عند الانطباق.</w:t>
            </w:r>
          </w:p>
        </w:tc>
        <w:tc>
          <w:tcPr>
            <w:tcW w:type="dxa" w:w="277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حالة مغلقة ومتابعة</w:t>
            </w:r>
          </w:p>
        </w:tc>
      </w:tr>
    </w:tbl>
    <w:p>
      <w:pPr>
        <w:spacing w:after="20"/>
      </w:pPr>
    </w:p>
    <w:p>
      <w:pPr>
        <w:pStyle w:val="ListBullet"/>
        <w:spacing w:after="60" w:line="276" w:lineRule="auto"/>
        <w:ind w:right="312"/>
        <w:jc w:val="right"/>
        <w:bidi/>
      </w:pPr>
      <w:r>
        <w:rPr>
          <w:rFonts w:ascii="Arial" w:hAnsi="Arial" w:cs="Arial"/>
          <w:b w:val="0"/>
          <w:sz w:val="20"/>
          <w:rtl/>
        </w:rPr>
        <w:t>إذا كانت الشكوى على المسؤول المعتاد عن معالجتها، تحال إلى مستوى أعلى أو إلى لجنة محايدة.</w:t>
      </w:r>
    </w:p>
    <w:p>
      <w:pPr>
        <w:pStyle w:val="ListBullet"/>
        <w:spacing w:after="60" w:line="276" w:lineRule="auto"/>
        <w:ind w:right="312"/>
        <w:jc w:val="right"/>
        <w:bidi/>
      </w:pPr>
      <w:r>
        <w:rPr>
          <w:rFonts w:ascii="Arial" w:hAnsi="Arial" w:cs="Arial"/>
          <w:b w:val="0"/>
          <w:sz w:val="20"/>
          <w:rtl/>
        </w:rPr>
        <w:t>لا يشارك في التحقق أو القرار من لديه تعارض مصالح أو كان طرفًا مباشرًا في الشكوى.</w:t>
      </w:r>
    </w:p>
    <w:p>
      <w:pPr>
        <w:pStyle w:val="ListBullet"/>
        <w:spacing w:after="60" w:line="276" w:lineRule="auto"/>
        <w:ind w:right="312"/>
        <w:jc w:val="right"/>
        <w:bidi/>
      </w:pPr>
      <w:r>
        <w:rPr>
          <w:rFonts w:ascii="Arial" w:hAnsi="Arial" w:cs="Arial"/>
          <w:b w:val="0"/>
          <w:sz w:val="20"/>
          <w:rtl/>
        </w:rPr>
        <w:t>يجوز طلب معلومات إضافية، ولا تغلق الشكوى لمجرد عدم استجابة مقدمها إذا أمكن التحقق من مصدر آخر أو كانت عالية الخطورة.</w:t>
      </w:r>
    </w:p>
    <w:p>
      <w:pPr>
        <w:spacing w:before="180" w:after="100" w:line="281" w:lineRule="auto"/>
        <w:jc w:val="right"/>
        <w:keepNext/>
        <w:bidi/>
      </w:pPr>
      <w:r>
        <w:rPr>
          <w:rFonts w:ascii="Arial" w:hAnsi="Arial" w:cs="Arial"/>
          <w:b/>
          <w:color w:val="084C61"/>
          <w:sz w:val="30"/>
          <w:rtl/>
        </w:rPr>
        <w:t>6. الاستفسارات والمقترحات</w:t>
      </w:r>
    </w:p>
    <w:p>
      <w:pPr>
        <w:pStyle w:val="ListBullet"/>
        <w:spacing w:after="60" w:line="276" w:lineRule="auto"/>
        <w:ind w:right="312"/>
        <w:jc w:val="right"/>
        <w:bidi/>
      </w:pPr>
      <w:r>
        <w:rPr>
          <w:rFonts w:ascii="Arial" w:hAnsi="Arial" w:cs="Arial"/>
          <w:b w:val="0"/>
          <w:sz w:val="20"/>
          <w:rtl/>
        </w:rPr>
        <w:t>يوجه الاستفسار إلى الجهة المالكة للمعلومة، وتقدم إجابة دقيقة وواضحة أو يوضح سبب تعذر الإفصاح.</w:t>
      </w:r>
    </w:p>
    <w:p>
      <w:pPr>
        <w:pStyle w:val="ListBullet"/>
        <w:spacing w:after="60" w:line="276" w:lineRule="auto"/>
        <w:ind w:right="312"/>
        <w:jc w:val="right"/>
        <w:bidi/>
      </w:pPr>
      <w:r>
        <w:rPr>
          <w:rFonts w:ascii="Arial" w:hAnsi="Arial" w:cs="Arial"/>
          <w:b w:val="0"/>
          <w:sz w:val="20"/>
          <w:rtl/>
        </w:rPr>
        <w:t>يوثق الاستفسار إذا كان يتطلب متابعة أو كشف تكراره حاجةً لتحسين المحتوى أو الخدمة.</w:t>
      </w:r>
    </w:p>
    <w:p>
      <w:pPr>
        <w:pStyle w:val="ListBullet"/>
        <w:spacing w:after="60" w:line="276" w:lineRule="auto"/>
        <w:ind w:right="312"/>
        <w:jc w:val="right"/>
        <w:bidi/>
      </w:pPr>
      <w:r>
        <w:rPr>
          <w:rFonts w:ascii="Arial" w:hAnsi="Arial" w:cs="Arial"/>
          <w:b w:val="0"/>
          <w:sz w:val="20"/>
          <w:rtl/>
        </w:rPr>
        <w:t>يقيد المقترح ويقيم من حيث الارتباط بالأهداف والجدوى والتكلفة والأثر والمخاطر، ويرفع لصاحب الصلاحية عند مناسبته.</w:t>
      </w:r>
    </w:p>
    <w:p>
      <w:pPr>
        <w:pStyle w:val="ListBullet"/>
        <w:spacing w:after="60" w:line="276" w:lineRule="auto"/>
        <w:ind w:right="312"/>
        <w:jc w:val="right"/>
        <w:bidi/>
      </w:pPr>
      <w:r>
        <w:rPr>
          <w:rFonts w:ascii="Arial" w:hAnsi="Arial" w:cs="Arial"/>
          <w:b w:val="0"/>
          <w:sz w:val="20"/>
          <w:rtl/>
        </w:rPr>
        <w:t>لا ينشئ تقديم المقترح التزامًا بالتنفيذ أو حقًا ماليًا أو ملكية لصاحبه، مع احترام حقوق الملكية الفكرية النظامية.</w:t>
      </w:r>
    </w:p>
    <w:p>
      <w:pPr>
        <w:spacing w:before="180" w:after="100" w:line="281" w:lineRule="auto"/>
        <w:jc w:val="right"/>
        <w:keepNext/>
        <w:bidi/>
      </w:pPr>
      <w:r>
        <w:rPr>
          <w:rFonts w:ascii="Arial" w:hAnsi="Arial" w:cs="Arial"/>
          <w:b/>
          <w:color w:val="084C61"/>
          <w:sz w:val="30"/>
          <w:rtl/>
        </w:rPr>
        <w:t>7. المدد والتصعيد</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408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الإجراء</w:t>
            </w:r>
          </w:p>
        </w:tc>
        <w:tc>
          <w:tcPr>
            <w:tcW w:type="dxa" w:w="527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المدة المستهدفة</w:t>
            </w:r>
          </w:p>
        </w:tc>
      </w:tr>
      <w:tr>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تأكيد استلام الشكوى</w:t>
            </w:r>
          </w:p>
        </w:tc>
        <w:tc>
          <w:tcPr>
            <w:tcW w:type="dxa" w:w="527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خلال يومي عمل</w:t>
            </w:r>
          </w:p>
        </w:tc>
      </w:tr>
      <w:tr>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الرد على الاستفسار</w:t>
            </w:r>
          </w:p>
        </w:tc>
        <w:tc>
          <w:tcPr>
            <w:tcW w:type="dxa" w:w="527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خلال 3 أيام عمل</w:t>
            </w:r>
          </w:p>
        </w:tc>
      </w:tr>
      <w:tr>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دراسة الشكوى</w:t>
            </w:r>
          </w:p>
        </w:tc>
        <w:tc>
          <w:tcPr>
            <w:tcW w:type="dxa" w:w="527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خلال 10 أيام عمل</w:t>
            </w:r>
          </w:p>
        </w:tc>
      </w:tr>
      <w:tr>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إبلاغ مقدم الشكوى بالنتيجة</w:t>
            </w:r>
          </w:p>
        </w:tc>
        <w:tc>
          <w:tcPr>
            <w:tcW w:type="dxa" w:w="527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خلال يومي عمل من انتهاء الدراسة واعتماد النتيجة</w:t>
            </w:r>
          </w:p>
        </w:tc>
      </w:tr>
      <w:tr>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الحالات عالية الخطورة</w:t>
            </w:r>
          </w:p>
        </w:tc>
        <w:tc>
          <w:tcPr>
            <w:tcW w:type="dxa" w:w="527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تصعيد فوري دون انتظار المدد المعتادة</w:t>
            </w:r>
          </w:p>
        </w:tc>
      </w:tr>
    </w:tbl>
    <w:p>
      <w:pPr>
        <w:spacing w:after="20"/>
      </w:pPr>
    </w:p>
    <w:p>
      <w:pPr>
        <w:spacing w:before="0" w:after="100" w:line="281" w:lineRule="auto"/>
        <w:jc w:val="right"/>
        <w:keepNext w:val="0"/>
        <w:bidi/>
      </w:pPr>
      <w:r>
        <w:rPr>
          <w:rFonts w:ascii="Arial" w:hAnsi="Arial" w:cs="Arial"/>
          <w:b w:val="0"/>
          <w:sz w:val="21"/>
          <w:rtl/>
        </w:rPr>
        <w:t>يجوز تمديد المعالجة إذا تطلبت تحقيقًا أو معلومات إضافية، على أن يوثق السبب ويشعر مقدم الشكوى قبل انتهاء المدة بالتمديد والموعد المتوقع. ويصعد التأخر غير المبرر إلى المدير التنفيذي.</w:t>
      </w:r>
    </w:p>
    <w:p>
      <w:pPr>
        <w:spacing w:before="0" w:after="100" w:line="281" w:lineRule="auto"/>
        <w:jc w:val="right"/>
        <w:keepNext w:val="0"/>
        <w:bidi/>
      </w:pPr>
      <w:r>
        <w:rPr>
          <w:rFonts w:ascii="Arial" w:hAnsi="Arial" w:cs="Arial"/>
          <w:b w:val="0"/>
          <w:sz w:val="21"/>
          <w:rtl/>
        </w:rPr>
        <w:t>يجوز لمقدم الشكوى طلب مراجعة النتيجة خلال عشرة أيام عمل من إبلاغه، مع بيان أسباب التظلم أو المعلومات الجديدة، ويحال الطلب إلى مستوى أعلى أو لجنة لم تشارك في القرار الأول.</w:t>
      </w:r>
    </w:p>
    <w:p>
      <w:pPr>
        <w:spacing w:before="180" w:after="100" w:line="281" w:lineRule="auto"/>
        <w:jc w:val="right"/>
        <w:keepNext/>
        <w:bidi/>
      </w:pPr>
      <w:r>
        <w:rPr>
          <w:rFonts w:ascii="Arial" w:hAnsi="Arial" w:cs="Arial"/>
          <w:b/>
          <w:color w:val="084C61"/>
          <w:sz w:val="30"/>
          <w:rtl/>
        </w:rPr>
        <w:t>8. السرية والخصوصية</w:t>
      </w:r>
    </w:p>
    <w:p>
      <w:pPr>
        <w:pStyle w:val="ListBullet"/>
        <w:spacing w:after="60" w:line="276" w:lineRule="auto"/>
        <w:ind w:right="312"/>
        <w:jc w:val="right"/>
        <w:bidi/>
      </w:pPr>
      <w:r>
        <w:rPr>
          <w:rFonts w:ascii="Arial" w:hAnsi="Arial" w:cs="Arial"/>
          <w:b w:val="0"/>
          <w:sz w:val="20"/>
          <w:rtl/>
        </w:rPr>
        <w:t>تجمع البيانات اللازمة لاستلام الطلب والتواصل والتحقق والمعالجة والتحسين، على أساس المتطلب النظامي أو تقديم الخدمة أو المصلحة المشروعة المنضبطة بحسب الحالة.</w:t>
      </w:r>
    </w:p>
    <w:p>
      <w:pPr>
        <w:pStyle w:val="ListBullet"/>
        <w:spacing w:after="60" w:line="276" w:lineRule="auto"/>
        <w:ind w:right="312"/>
        <w:jc w:val="right"/>
        <w:bidi/>
      </w:pPr>
      <w:r>
        <w:rPr>
          <w:rFonts w:ascii="Arial" w:hAnsi="Arial" w:cs="Arial"/>
          <w:b w:val="0"/>
          <w:sz w:val="20"/>
          <w:rtl/>
        </w:rPr>
        <w:t>يقتصر الاطلاع والإفصاح على الحد الأدنى اللازم، ولا تنشر أسماء مقدمي الشكاوى أو الأطراف أو تفاصيل الحالات.</w:t>
      </w:r>
    </w:p>
    <w:p>
      <w:pPr>
        <w:pStyle w:val="ListBullet"/>
        <w:spacing w:after="60" w:line="276" w:lineRule="auto"/>
        <w:ind w:right="312"/>
        <w:jc w:val="right"/>
        <w:bidi/>
      </w:pPr>
      <w:r>
        <w:rPr>
          <w:rFonts w:ascii="Arial" w:hAnsi="Arial" w:cs="Arial"/>
          <w:b w:val="0"/>
          <w:sz w:val="20"/>
          <w:rtl/>
        </w:rPr>
        <w:t>تطبق سياسة خصوصية البيانات وحقوق صاحب البيانات في العلم والوصول والتصحيح والإتلاف متى انطبقت، وتدار حوادث التسرب عبر الإجراء المخصص.</w:t>
      </w:r>
    </w:p>
    <w:p>
      <w:pPr>
        <w:pStyle w:val="ListBullet"/>
        <w:spacing w:after="60" w:line="276" w:lineRule="auto"/>
        <w:ind w:right="312"/>
        <w:jc w:val="right"/>
        <w:bidi/>
      </w:pPr>
      <w:r>
        <w:rPr>
          <w:rFonts w:ascii="Arial" w:hAnsi="Arial" w:cs="Arial"/>
          <w:b w:val="0"/>
          <w:sz w:val="20"/>
          <w:rtl/>
        </w:rPr>
        <w:t>تحفظ الشكوى ومرفقاتها ونتيجتها وفق جدول حفظ السجلات، ثم تتلف أو تخفى هويتها بطريقة آمنة بعد انتهاء الغرض والمدة، ما لم يلزم الاحتفاظ لنزاع أو تحقيق أو متطلب نظامي.</w:t>
      </w:r>
    </w:p>
    <w:p>
      <w:pPr>
        <w:spacing w:before="120" w:after="100" w:line="281" w:lineRule="auto"/>
        <w:jc w:val="right"/>
        <w:keepNext/>
        <w:bidi/>
      </w:pPr>
      <w:r>
        <w:rPr>
          <w:rFonts w:ascii="Arial" w:hAnsi="Arial" w:cs="Arial"/>
          <w:b/>
          <w:color w:val="2F7D59"/>
          <w:sz w:val="25"/>
          <w:rtl/>
        </w:rPr>
        <w:t>إشعار الخصوصية المختصر للنموذج</w:t>
      </w:r>
    </w:p>
    <w:p>
      <w:pPr>
        <w:spacing w:before="0" w:after="100" w:line="281" w:lineRule="auto"/>
        <w:jc w:val="right"/>
        <w:keepNext w:val="0"/>
        <w:bidi/>
      </w:pPr>
      <w:r>
        <w:rPr>
          <w:rFonts w:ascii="Arial" w:hAnsi="Arial" w:cs="Arial"/>
          <w:b w:val="0"/>
          <w:sz w:val="21"/>
          <w:rtl/>
        </w:rPr>
        <w:t>تستخدم جمعية البلسم للتدريب والتطوير الصحي البيانات المقدمة لاستقبال الشكوى أو الاستفسار أو المقترح والتحقق منه ومعالجته والتواصل بشأنه وتحسين الخدمات. قد تشارك البيانات داخليًا مع الجهة المختصة أو تفصح عنها عند وجود مسوغ نظامي، وتطبق عليها ضوابط السرية والحماية ومدد الحفظ المعتمدة. يمكن ممارسة الحقوق المتعلقة بالبيانات عبر قنوات التواصل الرسمية للجمعية. تجنب إدراج بيانات حساسة أو تخص الغير ما لم تكن ضرورية للموضوع.</w:t>
      </w:r>
    </w:p>
    <w:p>
      <w:pPr>
        <w:spacing w:before="180" w:after="100" w:line="281" w:lineRule="auto"/>
        <w:jc w:val="right"/>
        <w:keepNext/>
        <w:bidi/>
      </w:pPr>
      <w:r>
        <w:rPr>
          <w:rFonts w:ascii="Arial" w:hAnsi="Arial" w:cs="Arial"/>
          <w:b/>
          <w:color w:val="084C61"/>
          <w:sz w:val="30"/>
          <w:rtl/>
        </w:rPr>
        <w:t>9. المسؤوليات ولجنة النظر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الجهة</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المسؤوليات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السياسة والرقابة على التقارير الجوهرية واتجاهات الشكاوى.</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المدير التنفيذي</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الإشراف على التطبيق واعتماد القرارات والتصعيد والحماية والإجراءات التصحيحية ضمن الصلاحية.</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وحدة الدعم الإداري/منسق الشكاوى</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إدارة القنوات والسجل والأرقام المرجعية والمدد والإحالات والمتابعة والتقارير.</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الوحدة المختصة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دراسة الموضوع وتقديم الوقائع والتوصية وتنفيذ الإجراء التصحيحي.</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لجنة النظر في الشكاوى والتظلمات</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تُشكل بقرار عند الحاجة للحالات المعقدة أو الحساسة أو التظلمات، ويحدد القرار أعضاءها واختصاصها ومدتها، مع الحياد والإفصاح عن التعارض.</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جميع العاملين</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التعاون وحفظ السرية وحسن التعامل وعدم الانتقام أو التأثير على مقدم الشكوى.</w:t>
            </w:r>
          </w:p>
        </w:tc>
      </w:tr>
    </w:tbl>
    <w:p>
      <w:pPr>
        <w:spacing w:after="20"/>
      </w:pPr>
    </w:p>
    <w:p>
      <w:pPr>
        <w:spacing w:before="180" w:after="100" w:line="281" w:lineRule="auto"/>
        <w:jc w:val="right"/>
        <w:keepNext/>
        <w:bidi/>
      </w:pPr>
      <w:r>
        <w:rPr>
          <w:rFonts w:ascii="Arial" w:hAnsi="Arial" w:cs="Arial"/>
          <w:b/>
          <w:color w:val="084C61"/>
          <w:sz w:val="30"/>
          <w:rtl/>
        </w:rPr>
        <w:t>10. المتابعة والتحسين</w:t>
      </w:r>
    </w:p>
    <w:p>
      <w:pPr>
        <w:pStyle w:val="ListBullet"/>
        <w:spacing w:after="60" w:line="276" w:lineRule="auto"/>
        <w:ind w:right="312"/>
        <w:jc w:val="right"/>
        <w:bidi/>
      </w:pPr>
      <w:r>
        <w:rPr>
          <w:rFonts w:ascii="Arial" w:hAnsi="Arial" w:cs="Arial"/>
          <w:b w:val="0"/>
          <w:sz w:val="20"/>
          <w:rtl/>
        </w:rPr>
        <w:t>إعداد تقرير دوري يتضمن الأعداد والتصنيفات والالتزام بالمدد ونسب الإغلاق والتظلمات دون بيانات شخصية غير لازمة.</w:t>
      </w:r>
    </w:p>
    <w:p>
      <w:pPr>
        <w:pStyle w:val="ListBullet"/>
        <w:spacing w:after="60" w:line="276" w:lineRule="auto"/>
        <w:ind w:right="312"/>
        <w:jc w:val="right"/>
        <w:bidi/>
      </w:pPr>
      <w:r>
        <w:rPr>
          <w:rFonts w:ascii="Arial" w:hAnsi="Arial" w:cs="Arial"/>
          <w:b w:val="0"/>
          <w:sz w:val="20"/>
          <w:rtl/>
        </w:rPr>
        <w:t>تحليل الأسباب الجذرية للشكاوى المتكررة وربطها بإجراءات تصحيحية ومسؤول وموعد ومؤشر تحقق.</w:t>
      </w:r>
    </w:p>
    <w:p>
      <w:pPr>
        <w:pStyle w:val="ListBullet"/>
        <w:spacing w:after="60" w:line="276" w:lineRule="auto"/>
        <w:ind w:right="312"/>
        <w:jc w:val="right"/>
        <w:bidi/>
      </w:pPr>
      <w:r>
        <w:rPr>
          <w:rFonts w:ascii="Arial" w:hAnsi="Arial" w:cs="Arial"/>
          <w:b w:val="0"/>
          <w:sz w:val="20"/>
          <w:rtl/>
        </w:rPr>
        <w:t>قياس رضا مقدمي الشكاوى عن سهولة القناة والوضوح والمدة والعدالة، بصورة منفصلة عن قبول النتيجة نفسها.</w:t>
      </w:r>
    </w:p>
    <w:p>
      <w:pPr>
        <w:pStyle w:val="ListBullet"/>
        <w:spacing w:after="60" w:line="276" w:lineRule="auto"/>
        <w:ind w:right="312"/>
        <w:jc w:val="right"/>
        <w:bidi/>
      </w:pPr>
      <w:r>
        <w:rPr>
          <w:rFonts w:ascii="Arial" w:hAnsi="Arial" w:cs="Arial"/>
          <w:b w:val="0"/>
          <w:sz w:val="20"/>
          <w:rtl/>
        </w:rPr>
        <w:t>مراجعة القنوات والنموذج والتوعية سنويًا، وتحديث السياسة عند تغير الأنظمة أو الهيكل أو طبيعة الخدمات.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المؤشر</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الدورية</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تأكيد الاستلام ضمن يومي عمل</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شهري/ربع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الشكاوى المعالجة ضمن 10 أيام عمل</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شهري/ربع 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متوسط زمن الرد على الاستفسارات</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شهري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الشكاوى المتكررة والإجراءات التصحيحية المنفذة</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التظلمات وتغيير القرار بعد المراجعة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bl>
    <w:p>
      <w:pPr>
        <w:spacing w:after="20"/>
      </w:pPr>
    </w:p>
    <w:p>
      <w:pPr>
        <w:spacing w:before="120" w:after="100" w:line="281" w:lineRule="auto"/>
        <w:jc w:val="right"/>
        <w:keepNext/>
        <w:bidi/>
      </w:pPr>
      <w:r>
        <w:rPr>
          <w:rFonts w:ascii="Arial" w:hAnsi="Arial" w:cs="Arial"/>
          <w:b/>
          <w:color w:val="2F7D59"/>
          <w:sz w:val="25"/>
          <w:rtl/>
        </w:rPr>
        <w:t>النفاذ</w:t>
      </w:r>
    </w:p>
    <w:p>
      <w:pPr>
        <w:spacing w:before="0" w:after="100" w:line="281" w:lineRule="auto"/>
        <w:jc w:val="right"/>
        <w:keepNext w:val="0"/>
        <w:bidi/>
      </w:pPr>
      <w:r>
        <w:rPr>
          <w:rFonts w:ascii="Arial" w:hAnsi="Arial" w:cs="Arial"/>
          <w:b w:val="0"/>
          <w:sz w:val="21"/>
          <w:rtl/>
        </w:rPr>
        <w:t>تدخل هذه السياسة حيز التنفيذ من تاريخ اعتمادها، وتراجع سنويًا أو عند تغير الأنظمة أو القنوات أو الهيكل أو طبيعة الخدمات.</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CS-F01 — نموذج المقترحات والشكاوى والاستفسارات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نوع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التقديم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القناة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بيانات التواصل اختيارية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الموضوع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التفاصيل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المرفقات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أولوية الحالة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CS-R01 — سجل المقترحات والشكاوى والاستفسارات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الرقم المرجعي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النوع</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القناة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التصنيف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الجهة المحال إليها</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المهلة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الحالة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التعامل مع الشكاوى والاستفسارات والمقترحات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