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6"/>
        </w:rPr>
        <w:t>سياسة الاشتباه بغسل الأموال وتمويل الإرهاب</w:t>
      </w:r>
    </w:p>
    <w:p>
      <w:pPr>
        <w:spacing w:after="320"/>
        <w:jc w:val="center"/>
        <w:bidi w:val="1"/>
      </w:pPr>
      <w:r>
        <w:rPr>
          <w:rFonts w:ascii="Arial" w:hAnsi="Arial" w:cs="Arial"/>
          <w:b/>
          <w:color w:val="A9322D"/>
          <w:sz w:val="28"/>
        </w:rPr>
        <w:t>جمعية البلسم للتدريب والتطوير الصحي</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رقم الوثيقة</w:t>
            </w:r>
          </w:p>
        </w:tc>
        <w:tc>
          <w:tcPr>
            <w:tcW w:type="dxa" w:w="6000"/>
            <w:tcMar>
              <w:top w:w="90" w:type="dxa"/>
              <w:start w:w="110" w:type="dxa"/>
              <w:bottom w:w="90" w:type="dxa"/>
              <w:end w:w="110" w:type="dxa"/>
            </w:tcMar>
            <w:vAlign w:val="center"/>
          </w:tcPr>
          <w:p>
            <w:pPr>
              <w:jc w:val="center"/>
              <w:bidi w:val="1"/>
            </w:pPr>
            <w:r>
              <w:rPr>
                <w:rFonts w:ascii="Arial" w:hAnsi="Arial" w:cs="Arial"/>
              </w:rPr>
              <w:t>س ا غ - 01</w:t>
            </w:r>
          </w:p>
        </w:tc>
      </w:tr>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رقم الإصدار</w:t>
            </w:r>
          </w:p>
        </w:tc>
        <w:tc>
          <w:tcPr>
            <w:tcW w:type="dxa" w:w="6000"/>
            <w:tcMar>
              <w:top w:w="90" w:type="dxa"/>
              <w:start w:w="110" w:type="dxa"/>
              <w:bottom w:w="90" w:type="dxa"/>
              <w:end w:w="110" w:type="dxa"/>
            </w:tcMar>
            <w:vAlign w:val="center"/>
          </w:tcPr>
          <w:p>
            <w:pPr>
              <w:jc w:val="center"/>
              <w:bidi w:val="1"/>
            </w:pPr>
            <w:r>
              <w:rPr>
                <w:rFonts w:ascii="Arial" w:hAnsi="Arial" w:cs="Arial"/>
              </w:rPr>
              <w:t>........................</w:t>
            </w:r>
          </w:p>
        </w:tc>
      </w:tr>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تاريخ الاعتماد</w:t>
            </w:r>
          </w:p>
        </w:tc>
        <w:tc>
          <w:tcPr>
            <w:tcW w:type="dxa" w:w="6000"/>
            <w:tcMar>
              <w:top w:w="90" w:type="dxa"/>
              <w:start w:w="110" w:type="dxa"/>
              <w:bottom w:w="90" w:type="dxa"/>
              <w:end w:w="110" w:type="dxa"/>
            </w:tcMar>
            <w:vAlign w:val="center"/>
          </w:tcPr>
          <w:p>
            <w:pPr>
              <w:jc w:val="center"/>
              <w:bidi w:val="1"/>
            </w:pPr>
            <w:r>
              <w:rPr>
                <w:rFonts w:ascii="Arial" w:hAnsi="Arial" w:cs="Arial"/>
              </w:rPr>
              <w:t>........................</w:t>
            </w:r>
          </w:p>
        </w:tc>
      </w:tr>
      <w:tr>
        <w:trPr>
          <w:cantSplit/>
        </w:trPr>
        <w:tc>
          <w:tcPr>
            <w:tcW w:type="dxa" w:w="2500"/>
            <w:tcMar>
              <w:top w:w="90" w:type="dxa"/>
              <w:start w:w="110" w:type="dxa"/>
              <w:bottom w:w="90" w:type="dxa"/>
              <w:end w:w="110" w:type="dxa"/>
            </w:tcMar>
            <w:shd w:fill="EAF6F4"/>
            <w:vAlign w:val="center"/>
          </w:tcPr>
          <w:p>
            <w:pPr>
              <w:jc w:val="center"/>
              <w:bidi w:val="1"/>
            </w:pPr>
            <w:r>
              <w:rPr>
                <w:rFonts w:ascii="Arial" w:hAnsi="Arial" w:cs="Arial"/>
                <w:b/>
                <w:color w:val="0B7F9E"/>
              </w:rPr>
              <w:t>تاريخ النفاذ</w:t>
            </w:r>
          </w:p>
        </w:tc>
        <w:tc>
          <w:tcPr>
            <w:tcW w:type="dxa" w:w="6000"/>
            <w:tcMar>
              <w:top w:w="90" w:type="dxa"/>
              <w:start w:w="110" w:type="dxa"/>
              <w:bottom w:w="90" w:type="dxa"/>
              <w:end w:w="110" w:type="dxa"/>
            </w:tcMar>
            <w:vAlign w:val="center"/>
          </w:tcPr>
          <w:p>
            <w:pPr>
              <w:jc w:val="center"/>
              <w:bidi w:val="1"/>
            </w:pPr>
            <w:r>
              <w:rPr>
                <w:rFonts w:ascii="Arial" w:hAnsi="Arial" w:cs="Arial"/>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مالك الوثيقة</w:t>
            </w:r>
          </w:p>
        </w:tc>
        <w:tc>
          <w:tcPr>
            <w:tcW w:type="dxa" w:w="5900"/>
            <w:tcMar>
              <w:top w:w="90" w:type="dxa"/>
              <w:start w:w="110" w:type="dxa"/>
              <w:bottom w:w="90" w:type="dxa"/>
              <w:end w:w="110" w:type="dxa"/>
            </w:tcMar>
          </w:tcPr>
          <w:p>
            <w:pPr>
              <w:jc w:val="right"/>
              <w:bidi w:val="1"/>
            </w:pPr>
            <w:r>
              <w:rPr>
                <w:rFonts w:ascii="Arial" w:hAnsi="Arial" w:cs="Arial"/>
              </w:rPr>
              <w:t>مجلس الإدارة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جهة التنفيذ</w:t>
            </w:r>
          </w:p>
        </w:tc>
        <w:tc>
          <w:tcPr>
            <w:tcW w:type="dxa" w:w="5900"/>
            <w:tcMar>
              <w:top w:w="90" w:type="dxa"/>
              <w:start w:w="110" w:type="dxa"/>
              <w:bottom w:w="90" w:type="dxa"/>
              <w:end w:w="110" w:type="dxa"/>
            </w:tcMar>
          </w:tcPr>
          <w:p>
            <w:pPr>
              <w:jc w:val="right"/>
              <w:bidi w:val="1"/>
            </w:pPr>
            <w:r>
              <w:rPr>
                <w:rFonts w:ascii="Arial" w:hAnsi="Arial" w:cs="Arial"/>
              </w:rPr>
              <w:t>الإدارة التنفيذية وجميع الوحدات ذات العلاقة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جهة المتابعة</w:t>
            </w:r>
          </w:p>
        </w:tc>
        <w:tc>
          <w:tcPr>
            <w:tcW w:type="dxa" w:w="5900"/>
            <w:tcMar>
              <w:top w:w="90" w:type="dxa"/>
              <w:start w:w="110" w:type="dxa"/>
              <w:bottom w:w="90" w:type="dxa"/>
              <w:end w:w="110" w:type="dxa"/>
            </w:tcMar>
          </w:tcPr>
          <w:p>
            <w:pPr>
              <w:jc w:val="right"/>
              <w:bidi w:val="1"/>
            </w:pPr>
            <w:r>
              <w:rPr>
                <w:rFonts w:ascii="Arial" w:hAnsi="Arial" w:cs="Arial"/>
              </w:rPr>
              <w:t>المكلف بأعمال التدقيق والمراجعة والالتزام وفق قرار مجلس الإدارة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دورية المراجعة</w:t>
            </w:r>
          </w:p>
        </w:tc>
        <w:tc>
          <w:tcPr>
            <w:tcW w:type="dxa" w:w="5900"/>
            <w:tcMar>
              <w:top w:w="90" w:type="dxa"/>
              <w:start w:w="110" w:type="dxa"/>
              <w:bottom w:w="90" w:type="dxa"/>
              <w:end w:w="110" w:type="dxa"/>
            </w:tcMar>
          </w:tcPr>
          <w:p>
            <w:pPr>
              <w:jc w:val="right"/>
              <w:bidi w:val="1"/>
            </w:pPr>
            <w:r>
              <w:rPr>
                <w:rFonts w:ascii="Arial" w:hAnsi="Arial" w:cs="Arial"/>
              </w:rPr>
              <w:t>سنويًا أو عند تغير المخاطر أو المتطلبات النظامية</w:t>
            </w:r>
          </w:p>
        </w:tc>
      </w:tr>
      <w:tr>
        <w:trPr>
          <w:cantSplit/>
        </w:trPr>
        <w:tc>
          <w:tcPr>
            <w:tcW w:type="dxa" w:w="2600"/>
            <w:tcMar>
              <w:top w:w="90" w:type="dxa"/>
              <w:start w:w="110" w:type="dxa"/>
              <w:bottom w:w="90" w:type="dxa"/>
              <w:end w:w="110" w:type="dxa"/>
            </w:tcMar>
            <w:shd w:fill="EAF6F4"/>
          </w:tcPr>
          <w:p>
            <w:pPr>
              <w:jc w:val="right"/>
              <w:bidi w:val="1"/>
            </w:pPr>
            <w:r>
              <w:rPr>
                <w:rFonts w:ascii="Arial" w:hAnsi="Arial" w:cs="Arial"/>
                <w:b/>
                <w:color w:val="0B7F9E"/>
              </w:rPr>
              <w:t>درجة الإتاحة</w:t>
            </w:r>
          </w:p>
        </w:tc>
        <w:tc>
          <w:tcPr>
            <w:tcW w:type="dxa" w:w="5900"/>
            <w:tcMar>
              <w:top w:w="90" w:type="dxa"/>
              <w:start w:w="110" w:type="dxa"/>
              <w:bottom w:w="90" w:type="dxa"/>
              <w:end w:w="110" w:type="dxa"/>
            </w:tcMar>
          </w:tcPr>
          <w:p>
            <w:pPr>
              <w:jc w:val="right"/>
              <w:bidi w:val="1"/>
            </w:pPr>
            <w:r>
              <w:rPr>
                <w:rFonts w:ascii="Arial" w:hAnsi="Arial" w:cs="Arial"/>
              </w:rPr>
              <w:t>سرية داخلية - لا تنشر مؤشرات الاشتباه التفصيلية أو مسار البلاغ الداخلي</w:t>
            </w:r>
          </w:p>
        </w:tc>
      </w:tr>
    </w:tbl>
    <w:p>
      <w:pPr>
        <w:pStyle w:val="Heading1"/>
        <w:jc w:val="right"/>
        <w:keepNext/>
        <w:bidi w:val="1"/>
      </w:pPr>
      <w:r>
        <w:rPr>
          <w:rFonts w:ascii="Arial" w:hAnsi="Arial" w:cs="Arial"/>
        </w:rPr>
        <w:t>1. المقدمة</w:t>
      </w:r>
    </w:p>
    <w:p>
      <w:pPr>
        <w:spacing w:after="80"/>
        <w:jc w:val="right"/>
        <w:bidi w:val="1"/>
      </w:pPr>
      <w:r>
        <w:rPr>
          <w:rFonts w:ascii="Arial" w:hAnsi="Arial" w:cs="Arial"/>
          <w:b w:val="0"/>
        </w:rPr>
        <w:t>تحدد هذه السياسة مؤشرات الاشتباه الملائمة لطبيعة الجمعية، وتبين واجب العاملين والمتطوعين في رفع الحالات غير المعتادة، ومسؤولية المكلف بالالتزام عن الفحص المستقل والتوثيق والإبلاغ النظامي، مع المحافظة على السرية ومنع تنبيه الطرف محل الاشتباه.</w:t>
      </w:r>
    </w:p>
    <w:p>
      <w:pPr>
        <w:pStyle w:val="Heading1"/>
        <w:jc w:val="right"/>
        <w:keepNext/>
        <w:bidi w:val="1"/>
      </w:pPr>
      <w:r>
        <w:rPr>
          <w:rFonts w:ascii="Arial" w:hAnsi="Arial" w:cs="Arial"/>
        </w:rPr>
        <w:t>2. الهدف</w:t>
      </w:r>
    </w:p>
    <w:p>
      <w:pPr>
        <w:pStyle w:val="ListBullet"/>
        <w:spacing w:after="40"/>
        <w:ind w:left="288" w:right="360"/>
        <w:jc w:val="right"/>
        <w:bidi w:val="1"/>
      </w:pPr>
      <w:r>
        <w:rPr>
          <w:rFonts w:ascii="Arial" w:hAnsi="Arial" w:cs="Arial"/>
          <w:sz w:val="20"/>
        </w:rPr>
        <w:t>توفير مؤشرات عملية تساعد على التعرف المبكر على المعاملات أو العلاقات غير المعتادة.</w:t>
      </w:r>
    </w:p>
    <w:p>
      <w:pPr>
        <w:pStyle w:val="ListBullet"/>
        <w:spacing w:after="40"/>
        <w:ind w:left="288" w:right="360"/>
        <w:jc w:val="right"/>
        <w:bidi w:val="1"/>
      </w:pPr>
      <w:r>
        <w:rPr>
          <w:rFonts w:ascii="Arial" w:hAnsi="Arial" w:cs="Arial"/>
          <w:sz w:val="20"/>
        </w:rPr>
        <w:t>توحيد مسار استقبال الاشتباه وفحصه وتوثيقه واتخاذ القرار بشأنه.</w:t>
      </w:r>
    </w:p>
    <w:p>
      <w:pPr>
        <w:pStyle w:val="ListBullet"/>
        <w:spacing w:after="40"/>
        <w:ind w:left="288" w:right="360"/>
        <w:jc w:val="right"/>
        <w:bidi w:val="1"/>
      </w:pPr>
      <w:r>
        <w:rPr>
          <w:rFonts w:ascii="Arial" w:hAnsi="Arial" w:cs="Arial"/>
          <w:sz w:val="20"/>
        </w:rPr>
        <w:t>ضمان الإبلاغ الفوري والمباشر عند قيام أسباب معقولة للاشتباه.</w:t>
      </w:r>
    </w:p>
    <w:p>
      <w:pPr>
        <w:pStyle w:val="ListBullet"/>
        <w:spacing w:after="40"/>
        <w:ind w:left="288" w:right="360"/>
        <w:jc w:val="right"/>
        <w:bidi w:val="1"/>
      </w:pPr>
      <w:r>
        <w:rPr>
          <w:rFonts w:ascii="Arial" w:hAnsi="Arial" w:cs="Arial"/>
          <w:sz w:val="20"/>
        </w:rPr>
        <w:t>حماية سرية البلاغات والمبلغين ومنع تنبيه الطرف محل الاشتباه.</w:t>
      </w:r>
    </w:p>
    <w:p>
      <w:pPr>
        <w:pStyle w:val="Heading1"/>
        <w:jc w:val="right"/>
        <w:keepNext/>
        <w:bidi w:val="1"/>
      </w:pPr>
      <w:r>
        <w:rPr>
          <w:rFonts w:ascii="Arial" w:hAnsi="Arial" w:cs="Arial"/>
        </w:rPr>
        <w:t>3. نطاق التطبيق</w:t>
      </w:r>
    </w:p>
    <w:p>
      <w:pPr>
        <w:spacing w:after="80"/>
        <w:jc w:val="right"/>
        <w:bidi w:val="1"/>
      </w:pPr>
      <w:r>
        <w:rPr>
          <w:rFonts w:ascii="Arial" w:hAnsi="Arial" w:cs="Arial"/>
          <w:b w:val="0"/>
        </w:rPr>
        <w:t>تسري السياسة على مجلس الإدارة والإدارة التنفيذية والعاملين والمتطوعين ذوي العلاقة، وتشمل التبرعات والحملات والمساعدات والخدمات والمشتريات والعقود والشراكات والتحويلات والقنوات الإلكترونية وأي معاملة مالية أو عينية تخص الجمعية.</w:t>
      </w:r>
    </w:p>
    <w:p>
      <w:pPr>
        <w:pStyle w:val="Heading1"/>
        <w:jc w:val="right"/>
        <w:keepNext/>
        <w:bidi w:val="1"/>
      </w:pPr>
      <w:r>
        <w:rPr>
          <w:rFonts w:ascii="Arial" w:hAnsi="Arial" w:cs="Arial"/>
        </w:rPr>
        <w:t>4. المبادئ الحاكمة</w:t>
      </w:r>
    </w:p>
    <w:p>
      <w:pPr>
        <w:spacing w:after="60"/>
        <w:ind w:right="288" w:hanging="288"/>
        <w:jc w:val="right"/>
        <w:bidi w:val="1"/>
      </w:pPr>
      <w:r>
        <w:rPr>
          <w:rFonts w:ascii="Arial" w:hAnsi="Arial" w:cs="Arial"/>
          <w:sz w:val="20"/>
        </w:rPr>
        <w:t>1. وجود مؤشر واحد لا يثبت الجريمة، لكنه قد يوجب الفحص بحسب ظروف الحالة ومجموع المؤشرات.</w:t>
      </w:r>
    </w:p>
    <w:p>
      <w:pPr>
        <w:spacing w:after="60"/>
        <w:ind w:right="288" w:hanging="288"/>
        <w:jc w:val="right"/>
        <w:bidi w:val="1"/>
      </w:pPr>
      <w:r>
        <w:rPr>
          <w:rFonts w:ascii="Arial" w:hAnsi="Arial" w:cs="Arial"/>
          <w:sz w:val="20"/>
        </w:rPr>
        <w:t>2. لا يشترط وصول الموظف إلى اليقين؛ يكفي رفع الوقائع والمعلومات المتاحة للمكلف بالالتزام.</w:t>
      </w:r>
    </w:p>
    <w:p>
      <w:pPr>
        <w:spacing w:after="60"/>
        <w:ind w:right="288" w:hanging="288"/>
        <w:jc w:val="right"/>
        <w:bidi w:val="1"/>
      </w:pPr>
      <w:r>
        <w:rPr>
          <w:rFonts w:ascii="Arial" w:hAnsi="Arial" w:cs="Arial"/>
          <w:sz w:val="20"/>
        </w:rPr>
        <w:t>3. يتخذ قرار الإبلاغ بناءً على أسباب معقولة موثقة، ولا يؤخر انتظار مستند غير جوهري الإبلاغ الواجب.</w:t>
      </w:r>
    </w:p>
    <w:p>
      <w:pPr>
        <w:spacing w:after="60"/>
        <w:ind w:right="288" w:hanging="288"/>
        <w:jc w:val="right"/>
        <w:bidi w:val="1"/>
      </w:pPr>
      <w:r>
        <w:rPr>
          <w:rFonts w:ascii="Arial" w:hAnsi="Arial" w:cs="Arial"/>
          <w:sz w:val="20"/>
        </w:rPr>
        <w:t>4. لا يجوز إبلاغ الطرف أو أي غير مخول بوجود فحص أو بلاغ أو طلب معلومات.</w:t>
      </w:r>
    </w:p>
    <w:p>
      <w:pPr>
        <w:spacing w:after="60"/>
        <w:ind w:right="288" w:hanging="288"/>
        <w:jc w:val="right"/>
        <w:bidi w:val="1"/>
      </w:pPr>
      <w:r>
        <w:rPr>
          <w:rFonts w:ascii="Arial" w:hAnsi="Arial" w:cs="Arial"/>
          <w:sz w:val="20"/>
        </w:rPr>
        <w:t>5. لا يجوز الانتقام من المبلغ حسن النية، ولا يعفي ذلك من المساءلة عن البلاغ الكيدي المتعمد.</w:t>
      </w:r>
    </w:p>
    <w:p>
      <w:pPr>
        <w:pStyle w:val="Heading1"/>
        <w:jc w:val="right"/>
        <w:keepNext/>
        <w:bidi w:val="1"/>
      </w:pPr>
      <w:r>
        <w:rPr>
          <w:rFonts w:ascii="Arial" w:hAnsi="Arial" w:cs="Arial"/>
        </w:rPr>
        <w:t>5. مؤشرات مرتبطة بالهوية والمعلومات</w:t>
      </w:r>
    </w:p>
    <w:p>
      <w:pPr>
        <w:pStyle w:val="ListBullet"/>
        <w:spacing w:after="40"/>
        <w:ind w:left="288" w:right="360"/>
        <w:jc w:val="right"/>
        <w:bidi w:val="1"/>
      </w:pPr>
      <w:r>
        <w:rPr>
          <w:rFonts w:ascii="Arial" w:hAnsi="Arial" w:cs="Arial"/>
          <w:sz w:val="20"/>
        </w:rPr>
        <w:t>رفض تقديم معلومات أو مستندات لازمة، أو المماطلة دون مبرر.</w:t>
      </w:r>
    </w:p>
    <w:p>
      <w:pPr>
        <w:pStyle w:val="ListBullet"/>
        <w:spacing w:after="40"/>
        <w:ind w:left="288" w:right="360"/>
        <w:jc w:val="right"/>
        <w:bidi w:val="1"/>
      </w:pPr>
      <w:r>
        <w:rPr>
          <w:rFonts w:ascii="Arial" w:hAnsi="Arial" w:cs="Arial"/>
          <w:sz w:val="20"/>
        </w:rPr>
        <w:t>تقديم بيانات متعارضة أو وثائق يشتبه في صحتها أو يصعب التحقق منها.</w:t>
      </w:r>
    </w:p>
    <w:p>
      <w:pPr>
        <w:pStyle w:val="ListBullet"/>
        <w:spacing w:after="40"/>
        <w:ind w:left="288" w:right="360"/>
        <w:jc w:val="right"/>
        <w:bidi w:val="1"/>
      </w:pPr>
      <w:r>
        <w:rPr>
          <w:rFonts w:ascii="Arial" w:hAnsi="Arial" w:cs="Arial"/>
          <w:sz w:val="20"/>
        </w:rPr>
        <w:t>استخدام ممثل أو وسيط دون حاجة واضحة، أو غموض صفة الشخص أو صلاحية تمثيله.</w:t>
      </w:r>
    </w:p>
    <w:p>
      <w:pPr>
        <w:pStyle w:val="ListBullet"/>
        <w:spacing w:after="40"/>
        <w:ind w:left="288" w:right="360"/>
        <w:jc w:val="right"/>
        <w:bidi w:val="1"/>
      </w:pPr>
      <w:r>
        <w:rPr>
          <w:rFonts w:ascii="Arial" w:hAnsi="Arial" w:cs="Arial"/>
          <w:sz w:val="20"/>
        </w:rPr>
        <w:t>تعذر تحديد المستفيد الحقيقي لشخص اعتباري عند وجوب ذلك، أو وجود هيكل ملكية معقد بلا مبرر.</w:t>
      </w:r>
    </w:p>
    <w:p>
      <w:pPr>
        <w:pStyle w:val="ListBullet"/>
        <w:spacing w:after="40"/>
        <w:ind w:left="288" w:right="360"/>
        <w:jc w:val="right"/>
        <w:bidi w:val="1"/>
      </w:pPr>
      <w:r>
        <w:rPr>
          <w:rFonts w:ascii="Arial" w:hAnsi="Arial" w:cs="Arial"/>
          <w:sz w:val="20"/>
        </w:rPr>
        <w:t>تكرار تغيير بيانات الاتصال أو الحسابات أو المستفيدين دون تفسير مقنع.</w:t>
      </w:r>
    </w:p>
    <w:p>
      <w:pPr>
        <w:pStyle w:val="Heading1"/>
        <w:jc w:val="right"/>
        <w:keepNext/>
        <w:bidi w:val="1"/>
      </w:pPr>
      <w:r>
        <w:rPr>
          <w:rFonts w:ascii="Arial" w:hAnsi="Arial" w:cs="Arial"/>
        </w:rPr>
        <w:t>6. مؤشرات مرتبطة بالتبرعات والتحصيل</w:t>
      </w:r>
    </w:p>
    <w:p>
      <w:pPr>
        <w:pStyle w:val="ListBullet"/>
        <w:spacing w:after="40"/>
        <w:ind w:left="288" w:right="360"/>
        <w:jc w:val="right"/>
        <w:bidi w:val="1"/>
      </w:pPr>
      <w:r>
        <w:rPr>
          <w:rFonts w:ascii="Arial" w:hAnsi="Arial" w:cs="Arial"/>
          <w:sz w:val="20"/>
        </w:rPr>
        <w:t>تبرع نقدي كبير أو متكرر لا يتناسب مع المعلومات المتاحة عن المتبرع أو الغرض المعلن.</w:t>
      </w:r>
    </w:p>
    <w:p>
      <w:pPr>
        <w:pStyle w:val="ListBullet"/>
        <w:spacing w:after="40"/>
        <w:ind w:left="288" w:right="360"/>
        <w:jc w:val="right"/>
        <w:bidi w:val="1"/>
      </w:pPr>
      <w:r>
        <w:rPr>
          <w:rFonts w:ascii="Arial" w:hAnsi="Arial" w:cs="Arial"/>
          <w:sz w:val="20"/>
        </w:rPr>
        <w:t>تجزئة التبرع إلى مبالغ أو دفعات متعددة بما يوحي بمحاولة تجاوز الضوابط.</w:t>
      </w:r>
    </w:p>
    <w:p>
      <w:pPr>
        <w:pStyle w:val="ListBullet"/>
        <w:spacing w:after="40"/>
        <w:ind w:left="288" w:right="360"/>
        <w:jc w:val="right"/>
        <w:bidi w:val="1"/>
      </w:pPr>
      <w:r>
        <w:rPr>
          <w:rFonts w:ascii="Arial" w:hAnsi="Arial" w:cs="Arial"/>
          <w:sz w:val="20"/>
        </w:rPr>
        <w:t>استخدام عدة أشخاص أو حسابات أو بطاقات لتجميع تبرع واحد دون مبرر واضح.</w:t>
      </w:r>
    </w:p>
    <w:p>
      <w:pPr>
        <w:pStyle w:val="ListBullet"/>
        <w:spacing w:after="40"/>
        <w:ind w:left="288" w:right="360"/>
        <w:jc w:val="right"/>
        <w:bidi w:val="1"/>
      </w:pPr>
      <w:r>
        <w:rPr>
          <w:rFonts w:ascii="Arial" w:hAnsi="Arial" w:cs="Arial"/>
          <w:sz w:val="20"/>
        </w:rPr>
        <w:t>تبرع مشروط بتوجيه الأموال إلى شخص أو جهة أو غرض لا يتفق مع أنشطة الجمعية أو الموافقات.</w:t>
      </w:r>
    </w:p>
    <w:p>
      <w:pPr>
        <w:pStyle w:val="ListBullet"/>
        <w:spacing w:after="40"/>
        <w:ind w:left="288" w:right="360"/>
        <w:jc w:val="right"/>
        <w:bidi w:val="1"/>
      </w:pPr>
      <w:r>
        <w:rPr>
          <w:rFonts w:ascii="Arial" w:hAnsi="Arial" w:cs="Arial"/>
          <w:sz w:val="20"/>
        </w:rPr>
        <w:t>طلب إخفاء هوية المتبرع عن السجلات الداخلية أو عدم إصدار إيصال أو تغيير وصف العملية.</w:t>
      </w:r>
    </w:p>
    <w:p>
      <w:pPr>
        <w:pStyle w:val="ListBullet"/>
        <w:spacing w:after="40"/>
        <w:ind w:left="288" w:right="360"/>
        <w:jc w:val="right"/>
        <w:bidi w:val="1"/>
      </w:pPr>
      <w:r>
        <w:rPr>
          <w:rFonts w:ascii="Arial" w:hAnsi="Arial" w:cs="Arial"/>
          <w:sz w:val="20"/>
        </w:rPr>
        <w:t>تبرع من دولة أو قناة أو وسيط مرتفع المخاطر، أو تحويل خارجي دون سند أو موافقة لازمة.</w:t>
      </w:r>
    </w:p>
    <w:p>
      <w:pPr>
        <w:pStyle w:val="ListBullet"/>
        <w:spacing w:after="40"/>
        <w:ind w:left="288" w:right="360"/>
        <w:jc w:val="right"/>
        <w:bidi w:val="1"/>
      </w:pPr>
      <w:r>
        <w:rPr>
          <w:rFonts w:ascii="Arial" w:hAnsi="Arial" w:cs="Arial"/>
          <w:sz w:val="20"/>
        </w:rPr>
        <w:t>تبرع عيني مرتفع القيمة أو صعب التقييم أو غير متناسب مع احتياج الجمعية.</w:t>
      </w:r>
    </w:p>
    <w:p>
      <w:pPr>
        <w:pStyle w:val="Heading1"/>
        <w:jc w:val="right"/>
        <w:keepNext/>
        <w:bidi w:val="1"/>
      </w:pPr>
      <w:r>
        <w:rPr>
          <w:rFonts w:ascii="Arial" w:hAnsi="Arial" w:cs="Arial"/>
        </w:rPr>
        <w:t>7. مؤشرات مرتبطة بالرديات والتحويلات</w:t>
      </w:r>
    </w:p>
    <w:p>
      <w:pPr>
        <w:pStyle w:val="ListBullet"/>
        <w:spacing w:after="40"/>
        <w:ind w:left="288" w:right="360"/>
        <w:jc w:val="right"/>
        <w:bidi w:val="1"/>
      </w:pPr>
      <w:r>
        <w:rPr>
          <w:rFonts w:ascii="Arial" w:hAnsi="Arial" w:cs="Arial"/>
          <w:sz w:val="20"/>
        </w:rPr>
        <w:t>طلب رد التبرع أو المبلغ إلى حساب أو شخص مختلف عن مصدره الأصلي.</w:t>
      </w:r>
    </w:p>
    <w:p>
      <w:pPr>
        <w:pStyle w:val="ListBullet"/>
        <w:spacing w:after="40"/>
        <w:ind w:left="288" w:right="360"/>
        <w:jc w:val="right"/>
        <w:bidi w:val="1"/>
      </w:pPr>
      <w:r>
        <w:rPr>
          <w:rFonts w:ascii="Arial" w:hAnsi="Arial" w:cs="Arial"/>
          <w:sz w:val="20"/>
        </w:rPr>
        <w:t>طلب استرداد سريع بعد التبرع دون سبب واضح، ولا سيما بعد تحويل القيمة أو تغيير القناة.</w:t>
      </w:r>
    </w:p>
    <w:p>
      <w:pPr>
        <w:pStyle w:val="ListBullet"/>
        <w:spacing w:after="40"/>
        <w:ind w:left="288" w:right="360"/>
        <w:jc w:val="right"/>
        <w:bidi w:val="1"/>
      </w:pPr>
      <w:r>
        <w:rPr>
          <w:rFonts w:ascii="Arial" w:hAnsi="Arial" w:cs="Arial"/>
          <w:sz w:val="20"/>
        </w:rPr>
        <w:t>طلب تحويل الأموال إلى عدة أطراف أو دول أو حسابات لا ترتبط بالغرض.</w:t>
      </w:r>
    </w:p>
    <w:p>
      <w:pPr>
        <w:pStyle w:val="ListBullet"/>
        <w:spacing w:after="40"/>
        <w:ind w:left="288" w:right="360"/>
        <w:jc w:val="right"/>
        <w:bidi w:val="1"/>
      </w:pPr>
      <w:r>
        <w:rPr>
          <w:rFonts w:ascii="Arial" w:hAnsi="Arial" w:cs="Arial"/>
          <w:sz w:val="20"/>
        </w:rPr>
        <w:t>حركة سريعة ومتتابعة للأموال بين حسابات أو محافظ إلكترونية دون مبرر تشغيلي.</w:t>
      </w:r>
    </w:p>
    <w:p>
      <w:pPr>
        <w:pStyle w:val="ListBullet"/>
        <w:spacing w:after="40"/>
        <w:ind w:left="288" w:right="360"/>
        <w:jc w:val="right"/>
        <w:bidi w:val="1"/>
      </w:pPr>
      <w:r>
        <w:rPr>
          <w:rFonts w:ascii="Arial" w:hAnsi="Arial" w:cs="Arial"/>
          <w:sz w:val="20"/>
        </w:rPr>
        <w:t>الإصرار على النقد أو وسيط غير معتاد مع رفض القنوات الرسمية للجمعية.</w:t>
      </w:r>
    </w:p>
    <w:p>
      <w:pPr>
        <w:pStyle w:val="Heading1"/>
        <w:jc w:val="right"/>
        <w:keepNext/>
        <w:bidi w:val="1"/>
      </w:pPr>
      <w:r>
        <w:rPr>
          <w:rFonts w:ascii="Arial" w:hAnsi="Arial" w:cs="Arial"/>
        </w:rPr>
        <w:t>8. مؤشرات مرتبطة بالمستفيدين والمساعدات</w:t>
      </w:r>
    </w:p>
    <w:p>
      <w:pPr>
        <w:pStyle w:val="ListBullet"/>
        <w:spacing w:after="40"/>
        <w:ind w:left="288" w:right="360"/>
        <w:jc w:val="right"/>
        <w:bidi w:val="1"/>
      </w:pPr>
      <w:r>
        <w:rPr>
          <w:rFonts w:ascii="Arial" w:hAnsi="Arial" w:cs="Arial"/>
          <w:sz w:val="20"/>
        </w:rPr>
        <w:t>تكرار الطلبات بهويات أو بيانات متشابهة أو حسابات بنكية مشتركة بصورة غير مبررة.</w:t>
      </w:r>
    </w:p>
    <w:p>
      <w:pPr>
        <w:pStyle w:val="ListBullet"/>
        <w:spacing w:after="40"/>
        <w:ind w:left="288" w:right="360"/>
        <w:jc w:val="right"/>
        <w:bidi w:val="1"/>
      </w:pPr>
      <w:r>
        <w:rPr>
          <w:rFonts w:ascii="Arial" w:hAnsi="Arial" w:cs="Arial"/>
          <w:sz w:val="20"/>
        </w:rPr>
        <w:t>تعارض مستندات الأهلية أو الدخل أو الحالة مع المعلومات المتاحة.</w:t>
      </w:r>
    </w:p>
    <w:p>
      <w:pPr>
        <w:pStyle w:val="ListBullet"/>
        <w:spacing w:after="40"/>
        <w:ind w:left="288" w:right="360"/>
        <w:jc w:val="right"/>
        <w:bidi w:val="1"/>
      </w:pPr>
      <w:r>
        <w:rPr>
          <w:rFonts w:ascii="Arial" w:hAnsi="Arial" w:cs="Arial"/>
          <w:sz w:val="20"/>
        </w:rPr>
        <w:t>طلب صرف المساعدة لطرف ثالث أو حساب غير مرتبط بالمستفيد دون مسوغ موثق.</w:t>
      </w:r>
    </w:p>
    <w:p>
      <w:pPr>
        <w:pStyle w:val="ListBullet"/>
        <w:spacing w:after="40"/>
        <w:ind w:left="288" w:right="360"/>
        <w:jc w:val="right"/>
        <w:bidi w:val="1"/>
      </w:pPr>
      <w:r>
        <w:rPr>
          <w:rFonts w:ascii="Arial" w:hAnsi="Arial" w:cs="Arial"/>
          <w:sz w:val="20"/>
        </w:rPr>
        <w:t>وجود موظف أو وسيط يوجه عدة طلبات أو يطلب تجاوز معايير الأهلية.</w:t>
      </w:r>
    </w:p>
    <w:p>
      <w:pPr>
        <w:pStyle w:val="ListBullet"/>
        <w:spacing w:after="40"/>
        <w:ind w:left="288" w:right="360"/>
        <w:jc w:val="right"/>
        <w:bidi w:val="1"/>
      </w:pPr>
      <w:r>
        <w:rPr>
          <w:rFonts w:ascii="Arial" w:hAnsi="Arial" w:cs="Arial"/>
          <w:sz w:val="20"/>
        </w:rPr>
        <w:t>بيع أو تحويل المساعدة العينية بطريقة منظمة أو متكررة بما يخالف غرضها.</w:t>
      </w:r>
    </w:p>
    <w:p>
      <w:pPr>
        <w:pStyle w:val="Heading1"/>
        <w:jc w:val="right"/>
        <w:keepNext/>
        <w:bidi w:val="1"/>
      </w:pPr>
      <w:r>
        <w:rPr>
          <w:rFonts w:ascii="Arial" w:hAnsi="Arial" w:cs="Arial"/>
        </w:rPr>
        <w:t>9. مؤشرات مرتبطة بالموردين والعقود والشركاء</w:t>
      </w:r>
    </w:p>
    <w:p>
      <w:pPr>
        <w:pStyle w:val="ListBullet"/>
        <w:spacing w:after="40"/>
        <w:ind w:left="288" w:right="360"/>
        <w:jc w:val="right"/>
        <w:bidi w:val="1"/>
      </w:pPr>
      <w:r>
        <w:rPr>
          <w:rFonts w:ascii="Arial" w:hAnsi="Arial" w:cs="Arial"/>
          <w:sz w:val="20"/>
        </w:rPr>
        <w:t>مورد أو متعاقد يرفض الإفصاح عن بياناته أو مالكيه أو حسابه البنكي.</w:t>
      </w:r>
    </w:p>
    <w:p>
      <w:pPr>
        <w:pStyle w:val="ListBullet"/>
        <w:spacing w:after="40"/>
        <w:ind w:left="288" w:right="360"/>
        <w:jc w:val="right"/>
        <w:bidi w:val="1"/>
      </w:pPr>
      <w:r>
        <w:rPr>
          <w:rFonts w:ascii="Arial" w:hAnsi="Arial" w:cs="Arial"/>
          <w:sz w:val="20"/>
        </w:rPr>
        <w:t>تضخم الأسعار أو فواتير عامة أو متكررة أو لا تتناسب مع التسليم الفعلي.</w:t>
      </w:r>
    </w:p>
    <w:p>
      <w:pPr>
        <w:pStyle w:val="ListBullet"/>
        <w:spacing w:after="40"/>
        <w:ind w:left="288" w:right="360"/>
        <w:jc w:val="right"/>
        <w:bidi w:val="1"/>
      </w:pPr>
      <w:r>
        <w:rPr>
          <w:rFonts w:ascii="Arial" w:hAnsi="Arial" w:cs="Arial"/>
          <w:sz w:val="20"/>
        </w:rPr>
        <w:t>طلب الدفع لحساب طرف ثالث أو في دولة لا ترتبط بالعقد أو النشاط.</w:t>
      </w:r>
    </w:p>
    <w:p>
      <w:pPr>
        <w:pStyle w:val="ListBullet"/>
        <w:spacing w:after="40"/>
        <w:ind w:left="288" w:right="360"/>
        <w:jc w:val="right"/>
        <w:bidi w:val="1"/>
      </w:pPr>
      <w:r>
        <w:rPr>
          <w:rFonts w:ascii="Arial" w:hAnsi="Arial" w:cs="Arial"/>
          <w:sz w:val="20"/>
        </w:rPr>
        <w:t>تجزئة العقود أو أوامر الشراء أو المدفوعات لتجاوز المنافسة أو الصلاحيات.</w:t>
      </w:r>
    </w:p>
    <w:p>
      <w:pPr>
        <w:pStyle w:val="ListBullet"/>
        <w:spacing w:after="40"/>
        <w:ind w:left="288" w:right="360"/>
        <w:jc w:val="right"/>
        <w:bidi w:val="1"/>
      </w:pPr>
      <w:r>
        <w:rPr>
          <w:rFonts w:ascii="Arial" w:hAnsi="Arial" w:cs="Arial"/>
          <w:sz w:val="20"/>
        </w:rPr>
        <w:t>علاقة غير معلنة بين المورد أو المستفيد وأحد العاملين أو أصحاب الصلاحية.</w:t>
      </w:r>
    </w:p>
    <w:p>
      <w:pPr>
        <w:pStyle w:val="ListBullet"/>
        <w:spacing w:after="40"/>
        <w:ind w:left="288" w:right="360"/>
        <w:jc w:val="right"/>
        <w:bidi w:val="1"/>
      </w:pPr>
      <w:r>
        <w:rPr>
          <w:rFonts w:ascii="Arial" w:hAnsi="Arial" w:cs="Arial"/>
          <w:sz w:val="20"/>
        </w:rPr>
        <w:t>شراكة أو مشروع يفتقر إلى غرض واضح أو مخرجات قابلة للتحقق.</w:t>
      </w:r>
    </w:p>
    <w:p>
      <w:pPr>
        <w:pStyle w:val="Heading1"/>
        <w:jc w:val="right"/>
        <w:keepNext/>
        <w:bidi w:val="1"/>
      </w:pPr>
      <w:r>
        <w:rPr>
          <w:rFonts w:ascii="Arial" w:hAnsi="Arial" w:cs="Arial"/>
        </w:rPr>
        <w:t>10. مؤشرات سلوكية وإجرائية</w:t>
      </w:r>
    </w:p>
    <w:p>
      <w:pPr>
        <w:pStyle w:val="ListBullet"/>
        <w:spacing w:after="40"/>
        <w:ind w:left="288" w:right="360"/>
        <w:jc w:val="right"/>
        <w:bidi w:val="1"/>
      </w:pPr>
      <w:r>
        <w:rPr>
          <w:rFonts w:ascii="Arial" w:hAnsi="Arial" w:cs="Arial"/>
          <w:sz w:val="20"/>
        </w:rPr>
        <w:t>الإصرار غير المعتاد على السرعة أو السرية أو تجاوز خطوات التحقق والموافقة.</w:t>
      </w:r>
    </w:p>
    <w:p>
      <w:pPr>
        <w:pStyle w:val="ListBullet"/>
        <w:spacing w:after="40"/>
        <w:ind w:left="288" w:right="360"/>
        <w:jc w:val="right"/>
        <w:bidi w:val="1"/>
      </w:pPr>
      <w:r>
        <w:rPr>
          <w:rFonts w:ascii="Arial" w:hAnsi="Arial" w:cs="Arial"/>
          <w:sz w:val="20"/>
        </w:rPr>
        <w:t>محاولة التأثير أو تقديم منفعة أو تهديد موظف لتغيير البيانات أو إكمال المعاملة.</w:t>
      </w:r>
    </w:p>
    <w:p>
      <w:pPr>
        <w:pStyle w:val="ListBullet"/>
        <w:spacing w:after="40"/>
        <w:ind w:left="288" w:right="360"/>
        <w:jc w:val="right"/>
        <w:bidi w:val="1"/>
      </w:pPr>
      <w:r>
        <w:rPr>
          <w:rFonts w:ascii="Arial" w:hAnsi="Arial" w:cs="Arial"/>
          <w:sz w:val="20"/>
        </w:rPr>
        <w:t>تقديم تفسيرات متغيرة أو غير منطقية لمصدر الأموال أو الغرض أو المستفيد.</w:t>
      </w:r>
    </w:p>
    <w:p>
      <w:pPr>
        <w:pStyle w:val="ListBullet"/>
        <w:spacing w:after="40"/>
        <w:ind w:left="288" w:right="360"/>
        <w:jc w:val="right"/>
        <w:bidi w:val="1"/>
      </w:pPr>
      <w:r>
        <w:rPr>
          <w:rFonts w:ascii="Arial" w:hAnsi="Arial" w:cs="Arial"/>
          <w:sz w:val="20"/>
        </w:rPr>
        <w:t>الانسحاب المفاجئ من المعاملة بعد طلب مستندات أو توضيحات إضافية.</w:t>
      </w:r>
    </w:p>
    <w:p>
      <w:pPr>
        <w:pStyle w:val="Heading1"/>
        <w:jc w:val="right"/>
        <w:keepNext/>
        <w:bidi w:val="1"/>
      </w:pPr>
      <w:r>
        <w:rPr>
          <w:rFonts w:ascii="Arial" w:hAnsi="Arial" w:cs="Arial"/>
        </w:rPr>
        <w:t>11. واجب الموظف أو المتطوع عند الاشتباه</w:t>
      </w:r>
    </w:p>
    <w:p>
      <w:pPr>
        <w:spacing w:after="60"/>
        <w:ind w:right="288" w:hanging="288"/>
        <w:jc w:val="right"/>
        <w:bidi w:val="1"/>
      </w:pPr>
      <w:r>
        <w:rPr>
          <w:rFonts w:ascii="Arial" w:hAnsi="Arial" w:cs="Arial"/>
          <w:sz w:val="20"/>
        </w:rPr>
        <w:t>1. عدم مواجهة الطرف أو اتهامه أو إبلاغه بوجود اشتباه.</w:t>
      </w:r>
    </w:p>
    <w:p>
      <w:pPr>
        <w:spacing w:after="60"/>
        <w:ind w:right="288" w:hanging="288"/>
        <w:jc w:val="right"/>
        <w:bidi w:val="1"/>
      </w:pPr>
      <w:r>
        <w:rPr>
          <w:rFonts w:ascii="Arial" w:hAnsi="Arial" w:cs="Arial"/>
          <w:sz w:val="20"/>
        </w:rPr>
        <w:t>2. المحافظة على الوضع القائم قدر الإمكان دون اتخاذ تصرف يعرقل إجراءً نظاميًا أو يكشف الفحص.</w:t>
      </w:r>
    </w:p>
    <w:p>
      <w:pPr>
        <w:spacing w:after="60"/>
        <w:ind w:right="288" w:hanging="288"/>
        <w:jc w:val="right"/>
        <w:bidi w:val="1"/>
      </w:pPr>
      <w:r>
        <w:rPr>
          <w:rFonts w:ascii="Arial" w:hAnsi="Arial" w:cs="Arial"/>
          <w:sz w:val="20"/>
        </w:rPr>
        <w:t>3. تدوين الوقائع كما حدثت، وإرفاق ما هو متاح من مستندات وبيانات دون إجراء تحقيق شخصي.</w:t>
      </w:r>
    </w:p>
    <w:p>
      <w:pPr>
        <w:spacing w:after="60"/>
        <w:ind w:right="288" w:hanging="288"/>
        <w:jc w:val="right"/>
        <w:bidi w:val="1"/>
      </w:pPr>
      <w:r>
        <w:rPr>
          <w:rFonts w:ascii="Arial" w:hAnsi="Arial" w:cs="Arial"/>
          <w:sz w:val="20"/>
        </w:rPr>
        <w:t>4. رفع نموذج الاشتباه الداخلي السري فورًا إلى المكلف بالالتزام عبر القناة المحددة.</w:t>
      </w:r>
    </w:p>
    <w:p>
      <w:pPr>
        <w:spacing w:after="60"/>
        <w:ind w:right="288" w:hanging="288"/>
        <w:jc w:val="right"/>
        <w:bidi w:val="1"/>
      </w:pPr>
      <w:r>
        <w:rPr>
          <w:rFonts w:ascii="Arial" w:hAnsi="Arial" w:cs="Arial"/>
          <w:sz w:val="20"/>
        </w:rPr>
        <w:t>5. عدم تداول الحالة مع الزملاء أو المدير غير المختص إلا إذا نص المسار المعتمد على ذلك.</w:t>
      </w:r>
    </w:p>
    <w:p>
      <w:pPr>
        <w:pStyle w:val="Heading1"/>
        <w:jc w:val="right"/>
        <w:keepNext/>
        <w:bidi w:val="1"/>
      </w:pPr>
      <w:r>
        <w:rPr>
          <w:rFonts w:ascii="Arial" w:hAnsi="Arial" w:cs="Arial"/>
        </w:rPr>
        <w:t>12. البيانات الأساسية للبلاغ الداخلي</w:t>
      </w:r>
    </w:p>
    <w:tbl>
      <w:tblPr>
        <w:tblStyle w:val="TableGrid"/>
        <w:tblW w:type="dxa" w:w="8500"/>
        <w:jc w:val="center"/>
        <w:tblLayout w:type="fixed"/>
        <w:tblLook w:firstColumn="1" w:firstRow="1" w:lastColumn="0" w:lastRow="0" w:noHBand="0" w:noVBand="1" w:val="04A0"/>
        <w:tblInd w:w="0" w:type="dxa"/>
        <w:bidiVisual/>
      </w:tblPr>
      <w:tblGrid>
        <w:gridCol w:w="2100"/>
        <w:gridCol w:w="6400"/>
      </w:tblGrid>
      <w:tr>
        <w:trPr>
          <w:tblHeader w:val="true"/>
          <w:cantSplit/>
        </w:trPr>
        <w:tc>
          <w:tcPr>
            <w:tcW w:type="dxa" w:w="2100"/>
            <w:shd w:fill="0B7F9E"/>
            <w:tcMar>
              <w:top w:w="90" w:type="dxa"/>
              <w:start w:w="110" w:type="dxa"/>
              <w:bottom w:w="90" w:type="dxa"/>
              <w:end w:w="110" w:type="dxa"/>
            </w:tcMar>
          </w:tcPr>
          <w:p>
            <w:pPr>
              <w:jc w:val="center"/>
              <w:bidi w:val="1"/>
            </w:pPr>
            <w:r>
              <w:rPr>
                <w:rFonts w:ascii="Arial" w:hAnsi="Arial" w:cs="Arial"/>
                <w:b/>
                <w:color w:val="FFFFFF"/>
              </w:rPr>
              <w:t>الحقل</w:t>
            </w:r>
          </w:p>
        </w:tc>
        <w:tc>
          <w:tcPr>
            <w:tcW w:type="dxa" w:w="6400"/>
            <w:shd w:fill="0B7F9E"/>
            <w:tcMar>
              <w:top w:w="90" w:type="dxa"/>
              <w:start w:w="110" w:type="dxa"/>
              <w:bottom w:w="90" w:type="dxa"/>
              <w:end w:w="110" w:type="dxa"/>
            </w:tcMar>
          </w:tcPr>
          <w:p>
            <w:pPr>
              <w:jc w:val="center"/>
              <w:bidi w:val="1"/>
            </w:pPr>
            <w:r>
              <w:rPr>
                <w:rFonts w:ascii="Arial" w:hAnsi="Arial" w:cs="Arial"/>
                <w:b/>
                <w:color w:val="FFFFFF"/>
              </w:rPr>
              <w:t>المحتوى المطلوب</w:t>
            </w:r>
          </w:p>
        </w:tc>
      </w:tr>
      <w:tr>
        <w:trPr>
          <w:cantSplit/>
        </w:trPr>
        <w:tc>
          <w:tcPr>
            <w:tcW w:type="dxa" w:w="2100"/>
            <w:tcMar>
              <w:top w:w="90" w:type="dxa"/>
              <w:start w:w="110" w:type="dxa"/>
              <w:bottom w:w="90" w:type="dxa"/>
              <w:end w:w="110" w:type="dxa"/>
            </w:tcMar>
          </w:tcPr>
          <w:p>
            <w:pPr>
              <w:jc w:val="center"/>
              <w:bidi w:val="1"/>
            </w:pPr>
            <w:r>
              <w:rPr>
                <w:rFonts w:ascii="Arial" w:hAnsi="Arial" w:cs="Arial"/>
                <w:sz w:val="18"/>
              </w:rPr>
              <w:t>بيانات الحالة</w:t>
            </w:r>
          </w:p>
        </w:tc>
        <w:tc>
          <w:tcPr>
            <w:tcW w:type="dxa" w:w="6400"/>
            <w:tcMar>
              <w:top w:w="90" w:type="dxa"/>
              <w:start w:w="110" w:type="dxa"/>
              <w:bottom w:w="90" w:type="dxa"/>
              <w:end w:w="110" w:type="dxa"/>
            </w:tcMar>
          </w:tcPr>
          <w:p>
            <w:pPr>
              <w:jc w:val="right"/>
              <w:bidi w:val="1"/>
            </w:pPr>
            <w:r>
              <w:rPr>
                <w:rFonts w:ascii="Arial" w:hAnsi="Arial" w:cs="Arial"/>
                <w:sz w:val="18"/>
              </w:rPr>
              <w:t>اسم أو رقم المتعامل، صفته، وسيلة الاتصال والحساب أو المرجع عند توفره.</w:t>
            </w:r>
          </w:p>
        </w:tc>
      </w:tr>
      <w:tr>
        <w:trPr>
          <w:cantSplit/>
        </w:trPr>
        <w:tc>
          <w:tcPr>
            <w:tcW w:type="dxa" w:w="2100"/>
            <w:shd w:fill="F2F4F5"/>
            <w:tcMar>
              <w:top w:w="90" w:type="dxa"/>
              <w:start w:w="110" w:type="dxa"/>
              <w:bottom w:w="90" w:type="dxa"/>
              <w:end w:w="110" w:type="dxa"/>
            </w:tcMar>
          </w:tcPr>
          <w:p>
            <w:pPr>
              <w:jc w:val="center"/>
              <w:bidi w:val="1"/>
            </w:pPr>
            <w:r>
              <w:rPr>
                <w:rFonts w:ascii="Arial" w:hAnsi="Arial" w:cs="Arial"/>
                <w:sz w:val="18"/>
              </w:rPr>
              <w:t>وصف الوقائع</w:t>
            </w:r>
          </w:p>
        </w:tc>
        <w:tc>
          <w:tcPr>
            <w:tcW w:type="dxa" w:w="6400"/>
            <w:shd w:fill="F2F4F5"/>
            <w:tcMar>
              <w:top w:w="90" w:type="dxa"/>
              <w:start w:w="110" w:type="dxa"/>
              <w:bottom w:w="90" w:type="dxa"/>
              <w:end w:w="110" w:type="dxa"/>
            </w:tcMar>
          </w:tcPr>
          <w:p>
            <w:pPr>
              <w:jc w:val="right"/>
              <w:bidi w:val="1"/>
            </w:pPr>
            <w:r>
              <w:rPr>
                <w:rFonts w:ascii="Arial" w:hAnsi="Arial" w:cs="Arial"/>
                <w:sz w:val="18"/>
              </w:rPr>
              <w:t>التاريخ والقيمة والقناة والغرض والأطراف وتسلسل الأحداث.</w:t>
            </w:r>
          </w:p>
        </w:tc>
      </w:tr>
      <w:tr>
        <w:trPr>
          <w:cantSplit/>
        </w:trPr>
        <w:tc>
          <w:tcPr>
            <w:tcW w:type="dxa" w:w="2100"/>
            <w:tcMar>
              <w:top w:w="90" w:type="dxa"/>
              <w:start w:w="110" w:type="dxa"/>
              <w:bottom w:w="90" w:type="dxa"/>
              <w:end w:w="110" w:type="dxa"/>
            </w:tcMar>
          </w:tcPr>
          <w:p>
            <w:pPr>
              <w:jc w:val="center"/>
              <w:bidi w:val="1"/>
            </w:pPr>
            <w:r>
              <w:rPr>
                <w:rFonts w:ascii="Arial" w:hAnsi="Arial" w:cs="Arial"/>
                <w:sz w:val="18"/>
              </w:rPr>
              <w:t>المؤشرات</w:t>
            </w:r>
          </w:p>
        </w:tc>
        <w:tc>
          <w:tcPr>
            <w:tcW w:type="dxa" w:w="6400"/>
            <w:tcMar>
              <w:top w:w="90" w:type="dxa"/>
              <w:start w:w="110" w:type="dxa"/>
              <w:bottom w:w="90" w:type="dxa"/>
              <w:end w:w="110" w:type="dxa"/>
            </w:tcMar>
          </w:tcPr>
          <w:p>
            <w:pPr>
              <w:jc w:val="right"/>
              <w:bidi w:val="1"/>
            </w:pPr>
            <w:r>
              <w:rPr>
                <w:rFonts w:ascii="Arial" w:hAnsi="Arial" w:cs="Arial"/>
                <w:sz w:val="18"/>
              </w:rPr>
              <w:t>المؤشرات التي لوحظت دون جزم أو اتهام.</w:t>
            </w:r>
          </w:p>
        </w:tc>
      </w:tr>
      <w:tr>
        <w:trPr>
          <w:cantSplit/>
        </w:trPr>
        <w:tc>
          <w:tcPr>
            <w:tcW w:type="dxa" w:w="2100"/>
            <w:shd w:fill="F2F4F5"/>
            <w:tcMar>
              <w:top w:w="90" w:type="dxa"/>
              <w:start w:w="110" w:type="dxa"/>
              <w:bottom w:w="90" w:type="dxa"/>
              <w:end w:w="110" w:type="dxa"/>
            </w:tcMar>
          </w:tcPr>
          <w:p>
            <w:pPr>
              <w:jc w:val="center"/>
              <w:bidi w:val="1"/>
            </w:pPr>
            <w:r>
              <w:rPr>
                <w:rFonts w:ascii="Arial" w:hAnsi="Arial" w:cs="Arial"/>
                <w:sz w:val="18"/>
              </w:rPr>
              <w:t>المستندات</w:t>
            </w:r>
          </w:p>
        </w:tc>
        <w:tc>
          <w:tcPr>
            <w:tcW w:type="dxa" w:w="6400"/>
            <w:shd w:fill="F2F4F5"/>
            <w:tcMar>
              <w:top w:w="90" w:type="dxa"/>
              <w:start w:w="110" w:type="dxa"/>
              <w:bottom w:w="90" w:type="dxa"/>
              <w:end w:w="110" w:type="dxa"/>
            </w:tcMar>
          </w:tcPr>
          <w:p>
            <w:pPr>
              <w:jc w:val="right"/>
              <w:bidi w:val="1"/>
            </w:pPr>
            <w:r>
              <w:rPr>
                <w:rFonts w:ascii="Arial" w:hAnsi="Arial" w:cs="Arial"/>
                <w:sz w:val="18"/>
              </w:rPr>
              <w:t>الإيصالات والتحويلات والعقود والمراسلات وأي أدلة متاحة.</w:t>
            </w:r>
          </w:p>
        </w:tc>
      </w:tr>
      <w:tr>
        <w:trPr>
          <w:cantSplit/>
        </w:trPr>
        <w:tc>
          <w:tcPr>
            <w:tcW w:type="dxa" w:w="2100"/>
            <w:tcMar>
              <w:top w:w="90" w:type="dxa"/>
              <w:start w:w="110" w:type="dxa"/>
              <w:bottom w:w="90" w:type="dxa"/>
              <w:end w:w="110" w:type="dxa"/>
            </w:tcMar>
          </w:tcPr>
          <w:p>
            <w:pPr>
              <w:jc w:val="center"/>
              <w:bidi w:val="1"/>
            </w:pPr>
            <w:r>
              <w:rPr>
                <w:rFonts w:ascii="Arial" w:hAnsi="Arial" w:cs="Arial"/>
                <w:sz w:val="18"/>
              </w:rPr>
              <w:t>الإجراءات المتخذة</w:t>
            </w:r>
          </w:p>
        </w:tc>
        <w:tc>
          <w:tcPr>
            <w:tcW w:type="dxa" w:w="6400"/>
            <w:tcMar>
              <w:top w:w="90" w:type="dxa"/>
              <w:start w:w="110" w:type="dxa"/>
              <w:bottom w:w="90" w:type="dxa"/>
              <w:end w:w="110" w:type="dxa"/>
            </w:tcMar>
          </w:tcPr>
          <w:p>
            <w:pPr>
              <w:jc w:val="right"/>
              <w:bidi w:val="1"/>
            </w:pPr>
            <w:r>
              <w:rPr>
                <w:rFonts w:ascii="Arial" w:hAnsi="Arial" w:cs="Arial"/>
                <w:sz w:val="18"/>
              </w:rPr>
              <w:t>ما تم أو لم يتم من المعاملة وأي تواصل حدث مع الطرف.</w:t>
            </w:r>
          </w:p>
        </w:tc>
      </w:tr>
    </w:tbl>
    <w:p>
      <w:pPr>
        <w:pStyle w:val="Heading1"/>
        <w:jc w:val="right"/>
        <w:keepNext/>
        <w:bidi w:val="1"/>
      </w:pPr>
      <w:r>
        <w:rPr>
          <w:rFonts w:ascii="Arial" w:hAnsi="Arial" w:cs="Arial"/>
        </w:rPr>
        <w:t>13. استلام الحالة والفحص الداخلي</w:t>
      </w:r>
    </w:p>
    <w:p>
      <w:pPr>
        <w:spacing w:after="60"/>
        <w:ind w:right="288" w:hanging="288"/>
        <w:jc w:val="right"/>
        <w:bidi w:val="1"/>
      </w:pPr>
      <w:r>
        <w:rPr>
          <w:rFonts w:ascii="Arial" w:hAnsi="Arial" w:cs="Arial"/>
          <w:sz w:val="20"/>
        </w:rPr>
        <w:t>1. يسجل المكلف بالالتزام الحالة برقم سري وتاريخ ووقت الاستلام، ويقيد الوصول إليها.</w:t>
      </w:r>
    </w:p>
    <w:p>
      <w:pPr>
        <w:spacing w:after="60"/>
        <w:ind w:right="288" w:hanging="288"/>
        <w:jc w:val="right"/>
        <w:bidi w:val="1"/>
      </w:pPr>
      <w:r>
        <w:rPr>
          <w:rFonts w:ascii="Arial" w:hAnsi="Arial" w:cs="Arial"/>
          <w:sz w:val="20"/>
        </w:rPr>
        <w:t>2. يفحص الهوية والغرض والمصدر والمعاملة والعلاقات والسجل السابق ومجمل المؤشرات.</w:t>
      </w:r>
    </w:p>
    <w:p>
      <w:pPr>
        <w:spacing w:after="60"/>
        <w:ind w:right="288" w:hanging="288"/>
        <w:jc w:val="right"/>
        <w:bidi w:val="1"/>
      </w:pPr>
      <w:r>
        <w:rPr>
          <w:rFonts w:ascii="Arial" w:hAnsi="Arial" w:cs="Arial"/>
          <w:sz w:val="20"/>
        </w:rPr>
        <w:t>3. يجوز طلب معلومات داخلية إضافية بصياغة لا تكشف وجود اشتباه، مع تجنب التواصل غير الضروري مع الطرف.</w:t>
      </w:r>
    </w:p>
    <w:p>
      <w:pPr>
        <w:spacing w:after="60"/>
        <w:ind w:right="288" w:hanging="288"/>
        <w:jc w:val="right"/>
        <w:bidi w:val="1"/>
      </w:pPr>
      <w:r>
        <w:rPr>
          <w:rFonts w:ascii="Arial" w:hAnsi="Arial" w:cs="Arial"/>
          <w:sz w:val="20"/>
        </w:rPr>
        <w:t>4. يوثق المكلف الوقائع والتحليل والنتيجة وأسبابها، سواء انتهى إلى الإبلاغ أو الحفظ مع المتابعة.</w:t>
      </w:r>
    </w:p>
    <w:p>
      <w:pPr>
        <w:spacing w:after="60"/>
        <w:ind w:right="288" w:hanging="288"/>
        <w:jc w:val="right"/>
        <w:bidi w:val="1"/>
      </w:pPr>
      <w:r>
        <w:rPr>
          <w:rFonts w:ascii="Arial" w:hAnsi="Arial" w:cs="Arial"/>
          <w:sz w:val="20"/>
        </w:rPr>
        <w:t>5. لا يغلق الملف لمجرد عدم اكتمال معلومة إذا كانت الوقائع القائمة تشكل أسبابًا معقولة للاشتباه.</w:t>
      </w:r>
    </w:p>
    <w:p>
      <w:pPr>
        <w:pStyle w:val="Heading1"/>
        <w:jc w:val="right"/>
        <w:keepNext/>
        <w:bidi w:val="1"/>
      </w:pPr>
      <w:r>
        <w:rPr>
          <w:rFonts w:ascii="Arial" w:hAnsi="Arial" w:cs="Arial"/>
        </w:rPr>
        <w:t>14. قرار الإبلاغ النظامي</w:t>
      </w:r>
    </w:p>
    <w:p>
      <w:pPr>
        <w:spacing w:after="80"/>
        <w:jc w:val="right"/>
        <w:bidi w:val="1"/>
      </w:pPr>
      <w:r>
        <w:rPr>
          <w:rFonts w:ascii="Arial" w:hAnsi="Arial" w:cs="Arial"/>
          <w:b w:val="0"/>
          <w:color w:val="A9322D"/>
        </w:rPr>
        <w:t>إذا توافرت أسباب معقولة للاشتباه في أن الأموال أو بعضها تمثل متحصلات نشاط إجرامي، أو ترتبط بغسل الأموال أو تمويل الإرهاب، أو ستستخدم في ذلك، فعلى المكلف المعتمد استكمال ما يأتي فورًا:</w:t>
      </w:r>
    </w:p>
    <w:p>
      <w:pPr>
        <w:spacing w:after="60"/>
        <w:ind w:right="288" w:hanging="288"/>
        <w:jc w:val="right"/>
        <w:bidi w:val="1"/>
      </w:pPr>
      <w:r>
        <w:rPr>
          <w:rFonts w:ascii="Arial" w:hAnsi="Arial" w:cs="Arial"/>
          <w:sz w:val="20"/>
        </w:rPr>
        <w:t>1. إعداد تقرير مفصل يتضمن البيانات المتاحة عن المعاملة والأطراف والمؤشرات وأسباب الاشتباه والمستندات الداعمة.</w:t>
      </w:r>
    </w:p>
    <w:p>
      <w:pPr>
        <w:spacing w:after="60"/>
        <w:ind w:right="288" w:hanging="288"/>
        <w:jc w:val="right"/>
        <w:bidi w:val="1"/>
      </w:pPr>
      <w:r>
        <w:rPr>
          <w:rFonts w:ascii="Arial" w:hAnsi="Arial" w:cs="Arial"/>
          <w:sz w:val="20"/>
        </w:rPr>
        <w:t>2. الإبلاغ فورًا وبشكل مباشر إلى الإدارة العامة للتحريات المالية عبر القنوات الرسمية المعتمدة.</w:t>
      </w:r>
    </w:p>
    <w:p>
      <w:pPr>
        <w:spacing w:after="60"/>
        <w:ind w:right="288" w:hanging="288"/>
        <w:jc w:val="right"/>
        <w:bidi w:val="1"/>
      </w:pPr>
      <w:r>
        <w:rPr>
          <w:rFonts w:ascii="Arial" w:hAnsi="Arial" w:cs="Arial"/>
          <w:sz w:val="20"/>
        </w:rPr>
        <w:t>3. الاستجابة لأي طلب معلومات أو متابعة من الجهة المختصة دون تأخير.</w:t>
      </w:r>
    </w:p>
    <w:p>
      <w:pPr>
        <w:spacing w:after="60"/>
        <w:ind w:right="288" w:hanging="288"/>
        <w:jc w:val="right"/>
        <w:bidi w:val="1"/>
      </w:pPr>
      <w:r>
        <w:rPr>
          <w:rFonts w:ascii="Arial" w:hAnsi="Arial" w:cs="Arial"/>
          <w:sz w:val="20"/>
        </w:rPr>
        <w:t>4. المحافظة على السرية وعدم تنبيه الطرف أو أي شخص غير مخول.</w:t>
      </w:r>
    </w:p>
    <w:p>
      <w:pPr>
        <w:spacing w:after="60"/>
        <w:ind w:right="288" w:hanging="288"/>
        <w:jc w:val="right"/>
        <w:bidi w:val="1"/>
      </w:pPr>
      <w:r>
        <w:rPr>
          <w:rFonts w:ascii="Arial" w:hAnsi="Arial" w:cs="Arial"/>
          <w:sz w:val="20"/>
        </w:rPr>
        <w:t>5. عدم تعطيل أو تغيير أي إجراء نظامي أو توجيه رسمي، وتوثيق الإجراءات اللاحقة.</w:t>
      </w:r>
    </w:p>
    <w:p>
      <w:pPr>
        <w:pStyle w:val="Heading1"/>
        <w:jc w:val="right"/>
        <w:keepNext/>
        <w:bidi w:val="1"/>
      </w:pPr>
      <w:r>
        <w:rPr>
          <w:rFonts w:ascii="Arial" w:hAnsi="Arial" w:cs="Arial"/>
        </w:rPr>
        <w:t>15. الحالات التي لا تنتهي إلى بلاغ</w:t>
      </w:r>
    </w:p>
    <w:p>
      <w:pPr>
        <w:spacing w:after="80"/>
        <w:jc w:val="right"/>
        <w:bidi w:val="1"/>
      </w:pPr>
      <w:r>
        <w:rPr>
          <w:rFonts w:ascii="Arial" w:hAnsi="Arial" w:cs="Arial"/>
          <w:b w:val="0"/>
        </w:rPr>
        <w:t>إذا لم تتوافر أسباب معقولة للإبلاغ، يوثق المكلف أسباب النتيجة، ويحدد ما إذا كانت الحالة تحتاج متابعة معززة أو تحديث بيانات أو تغيير تصنيف المخاطر أو رفض العلاقة لسبب مشروع مستقل. ولا يحذف ملف الفحص لمجرد عدم الإبلاغ.</w:t>
      </w:r>
    </w:p>
    <w:p>
      <w:pPr>
        <w:pStyle w:val="Heading1"/>
        <w:jc w:val="right"/>
        <w:keepNext/>
        <w:bidi w:val="1"/>
      </w:pPr>
      <w:r>
        <w:rPr>
          <w:rFonts w:ascii="Arial" w:hAnsi="Arial" w:cs="Arial"/>
        </w:rPr>
        <w:t>16. عدم التنبيه والسرية</w:t>
      </w:r>
    </w:p>
    <w:p>
      <w:pPr>
        <w:pStyle w:val="ListBullet"/>
        <w:spacing w:after="40"/>
        <w:ind w:left="288" w:right="360"/>
        <w:jc w:val="right"/>
        <w:bidi w:val="1"/>
      </w:pPr>
      <w:r>
        <w:rPr>
          <w:rFonts w:ascii="Arial" w:hAnsi="Arial" w:cs="Arial"/>
          <w:sz w:val="20"/>
        </w:rPr>
        <w:t>يحظر إبلاغ الطرف محل الاشتباه بوجود فحص أو بلاغ أو طلب معلومات أو نتيجة مرتبطة به.</w:t>
      </w:r>
    </w:p>
    <w:p>
      <w:pPr>
        <w:pStyle w:val="ListBullet"/>
        <w:spacing w:after="40"/>
        <w:ind w:left="288" w:right="360"/>
        <w:jc w:val="right"/>
        <w:bidi w:val="1"/>
      </w:pPr>
      <w:r>
        <w:rPr>
          <w:rFonts w:ascii="Arial" w:hAnsi="Arial" w:cs="Arial"/>
          <w:sz w:val="20"/>
        </w:rPr>
        <w:t>تقتصر معرفة الحالة على من تتطلب مهامه الاطلاع، ويحظر تداولها بالبريد أو القنوات غير المعتمدة.</w:t>
      </w:r>
    </w:p>
    <w:p>
      <w:pPr>
        <w:pStyle w:val="ListBullet"/>
        <w:spacing w:after="40"/>
        <w:ind w:left="288" w:right="360"/>
        <w:jc w:val="right"/>
        <w:bidi w:val="1"/>
      </w:pPr>
      <w:r>
        <w:rPr>
          <w:rFonts w:ascii="Arial" w:hAnsi="Arial" w:cs="Arial"/>
          <w:sz w:val="20"/>
        </w:rPr>
        <w:t>تحفظ ملفات الاشتباه والبلاغات منفصلة وبصلاحيات مقيدة، وتراقب عمليات الوصول إليها.</w:t>
      </w:r>
    </w:p>
    <w:p>
      <w:pPr>
        <w:pStyle w:val="ListBullet"/>
        <w:spacing w:after="40"/>
        <w:ind w:left="288" w:right="360"/>
        <w:jc w:val="right"/>
        <w:bidi w:val="1"/>
      </w:pPr>
      <w:r>
        <w:rPr>
          <w:rFonts w:ascii="Arial" w:hAnsi="Arial" w:cs="Arial"/>
          <w:sz w:val="20"/>
        </w:rPr>
        <w:t>أي إفشاء أو تنبيه أو محاولة تعطيل للتصعيد يعامل كمخالفة جسيمة.</w:t>
      </w:r>
    </w:p>
    <w:p>
      <w:pPr>
        <w:pStyle w:val="Heading1"/>
        <w:jc w:val="right"/>
        <w:keepNext/>
        <w:bidi w:val="1"/>
      </w:pPr>
      <w:r>
        <w:rPr>
          <w:rFonts w:ascii="Arial" w:hAnsi="Arial" w:cs="Arial"/>
        </w:rPr>
        <w:t>17. حفظ السجلات</w:t>
      </w:r>
    </w:p>
    <w:p>
      <w:pPr>
        <w:spacing w:after="80"/>
        <w:jc w:val="right"/>
        <w:bidi w:val="1"/>
      </w:pPr>
      <w:r>
        <w:rPr>
          <w:rFonts w:ascii="Arial" w:hAnsi="Arial" w:cs="Arial"/>
          <w:b w:val="0"/>
        </w:rPr>
        <w:t>تحفظ ملفات الاشتباه والفحص والبلاغات والمراسلات والمستندات المرتبطة بها بصورة سرية وآمنة، وتطبق مدة لا تقل عن 10 سنوات على السجلات والمستندات المالية وملفات الحسابات والمراسلات المالية وصور وثائق الهوية للفئات النظامية من تاريخ انتهاء التعامل، مع تعليق الإتلاف عند وجود تحقيق أو طلب رسمي.</w:t>
      </w:r>
    </w:p>
    <w:p>
      <w:pPr>
        <w:pStyle w:val="Heading1"/>
        <w:jc w:val="right"/>
        <w:keepNext/>
        <w:bidi w:val="1"/>
      </w:pPr>
      <w:r>
        <w:rPr>
          <w:rFonts w:ascii="Arial" w:hAnsi="Arial" w:cs="Arial"/>
        </w:rPr>
        <w:t>18. التدريب والحماية</w:t>
      </w:r>
    </w:p>
    <w:p>
      <w:pPr>
        <w:spacing w:after="80"/>
        <w:jc w:val="right"/>
        <w:bidi w:val="1"/>
      </w:pPr>
      <w:r>
        <w:rPr>
          <w:rFonts w:ascii="Arial" w:hAnsi="Arial" w:cs="Arial"/>
          <w:b w:val="0"/>
        </w:rPr>
        <w:t>تدرب الجمعية العاملين والمتطوعين ذوي العلاقة على المؤشرات ومسار الرفع وعدم التنبيه، وتحمي المبلغ حسن النية من الإجراءات الانتقامية، مع المحافظة على حق الجمعية في مساءلة من يقدم بلاغًا كيديًا أو يفشي معلومات سرية.</w:t>
      </w:r>
    </w:p>
    <w:p>
      <w:pPr>
        <w:pStyle w:val="Heading1"/>
        <w:jc w:val="right"/>
        <w:keepNext/>
        <w:bidi w:val="1"/>
      </w:pPr>
      <w:r>
        <w:rPr>
          <w:rFonts w:ascii="Arial" w:hAnsi="Arial" w:cs="Arial"/>
        </w:rPr>
        <w:t>19. الرقابة والمراجعة</w:t>
      </w:r>
    </w:p>
    <w:p>
      <w:pPr>
        <w:spacing w:after="80"/>
        <w:jc w:val="right"/>
        <w:bidi w:val="1"/>
      </w:pPr>
      <w:r>
        <w:rPr>
          <w:rFonts w:ascii="Arial" w:hAnsi="Arial" w:cs="Arial"/>
          <w:b w:val="0"/>
        </w:rPr>
        <w:t>يراجع المكلف بالالتزام اتجاهات الحالات وجودة البلاغات الداخلية ومدد الفحص وفعالية الضوابط، ويرفع لمجلس الإدارة مؤشرات مجمعة وخطط تحسين دون كشف بيانات الحالات إلا بقدر الحاجة والصلاحية.</w:t>
      </w:r>
    </w:p>
    <w:p>
      <w:pPr>
        <w:pStyle w:val="Heading1"/>
        <w:jc w:val="right"/>
        <w:keepNext/>
        <w:bidi w:val="1"/>
      </w:pPr>
      <w:r>
        <w:rPr>
          <w:rFonts w:ascii="Arial" w:hAnsi="Arial" w:cs="Arial"/>
        </w:rPr>
        <w:t>20. المراجعة والنفاذ</w:t>
      </w:r>
    </w:p>
    <w:p>
      <w:pPr>
        <w:spacing w:after="80"/>
        <w:jc w:val="right"/>
        <w:bidi w:val="1"/>
      </w:pPr>
      <w:r>
        <w:rPr>
          <w:rFonts w:ascii="Arial" w:hAnsi="Arial" w:cs="Arial"/>
          <w:b w:val="0"/>
        </w:rPr>
        <w:t>تراجع السياسة سنويًا وعند تغير المخاطر أو الأنظمة أو الأنشطة. وتصبح نافذة من التاريخ المحدد في قرار اعتمادها، وتلغي ما يتعارض معها من سياسات سابقة في نطاقها.</w:t>
      </w:r>
    </w:p>
    <w:p>
      <w:pPr>
        <w:pStyle w:val="Heading1"/>
        <w:jc w:val="right"/>
        <w:keepNext/>
        <w:bidi w:val="1"/>
      </w:pPr>
      <w:r>
        <w:rPr>
          <w:rFonts w:ascii="Arial" w:hAnsi="Arial" w:cs="Arial"/>
        </w:rPr>
        <w:t>21. النماذج المرتبطة</w:t>
      </w:r>
    </w:p>
    <w:p>
      <w:pPr>
        <w:pStyle w:val="ListBullet"/>
        <w:spacing w:after="40"/>
        <w:ind w:left="288" w:right="360"/>
        <w:jc w:val="right"/>
        <w:bidi w:val="1"/>
      </w:pPr>
      <w:r>
        <w:rPr>
          <w:rFonts w:ascii="Arial" w:hAnsi="Arial" w:cs="Arial"/>
          <w:sz w:val="20"/>
        </w:rPr>
        <w:t>نموذج بلاغ اشتباه داخلي سري.</w:t>
      </w:r>
    </w:p>
    <w:p>
      <w:pPr>
        <w:pStyle w:val="ListBullet"/>
        <w:spacing w:after="40"/>
        <w:ind w:left="288" w:right="360"/>
        <w:jc w:val="right"/>
        <w:bidi w:val="1"/>
      </w:pPr>
      <w:r>
        <w:rPr>
          <w:rFonts w:ascii="Arial" w:hAnsi="Arial" w:cs="Arial"/>
          <w:sz w:val="20"/>
        </w:rPr>
        <w:t>سجل حالات الاشتباه والفحص والتصعيد.</w:t>
      </w:r>
    </w:p>
    <w:p>
      <w:pPr>
        <w:pStyle w:val="ListBullet"/>
        <w:spacing w:after="40"/>
        <w:ind w:left="288" w:right="360"/>
        <w:jc w:val="right"/>
        <w:bidi w:val="1"/>
      </w:pPr>
      <w:r>
        <w:rPr>
          <w:rFonts w:ascii="Arial" w:hAnsi="Arial" w:cs="Arial"/>
          <w:sz w:val="20"/>
        </w:rPr>
        <w:t>نموذج تقرير الاشتباه المفصل.</w:t>
      </w:r>
    </w:p>
    <w:p>
      <w:pPr>
        <w:pStyle w:val="ListBullet"/>
        <w:spacing w:after="40"/>
        <w:ind w:left="288" w:right="360"/>
        <w:jc w:val="right"/>
        <w:bidi w:val="1"/>
      </w:pPr>
      <w:r>
        <w:rPr>
          <w:rFonts w:ascii="Arial" w:hAnsi="Arial" w:cs="Arial"/>
          <w:sz w:val="20"/>
        </w:rPr>
        <w:t>سجل صلاحيات الوصول إلى ملفات الاشتباه.</w:t>
      </w:r>
    </w:p>
    <w:p>
      <w:pPr>
        <w:pStyle w:val="Heading1"/>
        <w:jc w:val="right"/>
        <w:keepNext/>
        <w:bidi w:val="1"/>
      </w:pPr>
      <w:r>
        <w:rPr>
          <w:rFonts w:ascii="Arial" w:hAnsi="Arial" w:cs="Arial"/>
        </w:rPr>
        <w:t>22. المرجعيات</w:t>
      </w:r>
    </w:p>
    <w:p>
      <w:pPr>
        <w:spacing w:after="80"/>
        <w:jc w:val="right"/>
        <w:bidi w:val="1"/>
      </w:pPr>
      <w:r>
        <w:rPr>
          <w:rFonts w:ascii="Arial" w:hAnsi="Arial" w:cs="Arial"/>
          <w:b w:val="0"/>
        </w:rPr>
        <w:t>نظام مكافحة غسل الأموال ولائحته التنفيذية، ونظام مكافحة جرائم الإرهاب وتمويله ولائحته التنفيذية، واللائحة التنفيذية لنظام الجمعيات والمؤسسات الأهلية، وقواعد الحوكمة والتعليمات الرسمية ذات العلاقة.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0"/>
        </w:rPr>
        <w:t>سياسة الاشتباه بغسل الأموال وتمويل الإرهاب</w:t>
      </w:r>
    </w:p>
    <w:p>
      <w:pPr>
        <w:spacing w:after="320"/>
        <w:jc w:val="center"/>
        <w:bidi w:val="1"/>
      </w:pPr>
      <w:r>
        <w:rPr>
          <w:rFonts w:ascii="Arial" w:hAnsi="Arial" w:cs="Arial"/>
          <w:b w:val="0"/>
        </w:rPr>
        <w:t>اعتمد مجلس إدارة جمعية البلسم للتدريب والتطوير الصحي هذه السياسة، ويبدأ العمل بها من تاريخ النفاذ المحدد أدناه، وتحل محل النسخ السابقة في نطاقها.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رقم قرار مجلس الإدارة</w:t>
            </w:r>
          </w:p>
        </w:tc>
        <w:tc>
          <w:tcPr>
            <w:tcW w:type="dxa" w:w="5800"/>
            <w:tcMar>
              <w:top w:w="90" w:type="dxa"/>
              <w:start w:w="110" w:type="dxa"/>
              <w:bottom w:w="90" w:type="dxa"/>
              <w:end w:w="110" w:type="dxa"/>
            </w:tcMar>
          </w:tcPr>
          <w:p>
            <w:pPr>
              <w:spacing w:before="80" w:after="80"/>
              <w:jc w:val="center"/>
              <w:bidi w:val="1"/>
            </w:pPr>
            <w:r>
              <w:rPr>
                <w:rFonts w:ascii="Arial" w:hAnsi="Arial" w:cs="Arial"/>
              </w:rPr>
              <w:t>........................................................</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تاريخ القرار</w:t>
            </w:r>
          </w:p>
        </w:tc>
        <w:tc>
          <w:tcPr>
            <w:tcW w:type="dxa" w:w="5800"/>
            <w:tcMar>
              <w:top w:w="90" w:type="dxa"/>
              <w:start w:w="110" w:type="dxa"/>
              <w:bottom w:w="90" w:type="dxa"/>
              <w:end w:w="110" w:type="dxa"/>
            </w:tcMar>
          </w:tcPr>
          <w:p>
            <w:pPr>
              <w:spacing w:before="80" w:after="80"/>
              <w:jc w:val="center"/>
              <w:bidi w:val="1"/>
            </w:pPr>
            <w:r>
              <w:rPr>
                <w:rFonts w:ascii="Arial" w:hAnsi="Arial" w:cs="Arial"/>
              </w:rPr>
              <w:t>........ / ........ / ........ هـ   الموافق   ........ / ........ / ........ م</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رقم الإصدار</w:t>
            </w:r>
          </w:p>
        </w:tc>
        <w:tc>
          <w:tcPr>
            <w:tcW w:type="dxa" w:w="5800"/>
            <w:tcMar>
              <w:top w:w="90" w:type="dxa"/>
              <w:start w:w="110" w:type="dxa"/>
              <w:bottom w:w="90" w:type="dxa"/>
              <w:end w:w="110" w:type="dxa"/>
            </w:tcMar>
          </w:tcPr>
          <w:p>
            <w:pPr>
              <w:spacing w:before="80" w:after="80"/>
              <w:jc w:val="center"/>
              <w:bidi w:val="1"/>
            </w:pPr>
            <w:r>
              <w:rPr>
                <w:rFonts w:ascii="Arial" w:hAnsi="Arial" w:cs="Arial"/>
              </w:rPr>
              <w:t>........................................................</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تاريخ النفاذ</w:t>
            </w:r>
          </w:p>
        </w:tc>
        <w:tc>
          <w:tcPr>
            <w:tcW w:type="dxa" w:w="5800"/>
            <w:tcMar>
              <w:top w:w="90" w:type="dxa"/>
              <w:start w:w="110" w:type="dxa"/>
              <w:bottom w:w="90" w:type="dxa"/>
              <w:end w:w="110" w:type="dxa"/>
            </w:tcMar>
          </w:tcPr>
          <w:p>
            <w:pPr>
              <w:spacing w:before="80" w:after="80"/>
              <w:jc w:val="center"/>
              <w:bidi w:val="1"/>
            </w:pPr>
            <w:r>
              <w:rPr>
                <w:rFonts w:ascii="Arial" w:hAnsi="Arial" w:cs="Arial"/>
              </w:rPr>
              <w:t>........ / ........ / ........ م</w:t>
            </w:r>
          </w:p>
        </w:tc>
      </w:tr>
      <w:tr>
        <w:trPr>
          <w:cantSplit/>
        </w:trPr>
        <w:tc>
          <w:tcPr>
            <w:tcW w:type="dxa" w:w="2700"/>
            <w:tcMar>
              <w:top w:w="90" w:type="dxa"/>
              <w:start w:w="110" w:type="dxa"/>
              <w:bottom w:w="90" w:type="dxa"/>
              <w:end w:w="110" w:type="dxa"/>
            </w:tcMar>
            <w:shd w:fill="EAF6F4"/>
          </w:tcPr>
          <w:p>
            <w:pPr>
              <w:spacing w:before="80" w:after="80"/>
              <w:jc w:val="center"/>
              <w:bidi w:val="1"/>
            </w:pPr>
            <w:r>
              <w:rPr>
                <w:rFonts w:ascii="Arial" w:hAnsi="Arial" w:cs="Arial"/>
                <w:b/>
                <w:color w:val="0B7F9E"/>
              </w:rPr>
              <w:t>دورية المراجعة</w:t>
            </w:r>
          </w:p>
        </w:tc>
        <w:tc>
          <w:tcPr>
            <w:tcW w:type="dxa" w:w="5800"/>
            <w:tcMar>
              <w:top w:w="90" w:type="dxa"/>
              <w:start w:w="110" w:type="dxa"/>
              <w:bottom w:w="90" w:type="dxa"/>
              <w:end w:w="110" w:type="dxa"/>
            </w:tcMar>
          </w:tcPr>
          <w:p>
            <w:pPr>
              <w:spacing w:before="80" w:after="80"/>
              <w:jc w:val="center"/>
              <w:bidi w:val="1"/>
            </w:pPr>
            <w:r>
              <w:rPr>
                <w:rFonts w:ascii="Arial" w:hAnsi="Arial" w:cs="Arial"/>
              </w:rPr>
              <w:t>سنويًا أو عند تغير المخاطر أو المتطلبات</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AML-F01 — نموذج بلاغ اشتباه داخلي سري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ووقت الرصد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القناة أو العملية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الأطراف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وصف المؤشرات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المستندات المتاحة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إجراء الحماية الفوري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المبلّغ/الصفة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AML-R01 — سجل حالات الاشتباه</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الاستلام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تصنيف أولي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المكلف بالفحص</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إجراءات 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التصعيد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حالة الملف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AML-F02 — تقرير تحليل الاشتباه والقرار</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الوقائع والمؤشرات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المعلومات والتحقق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تحليل المخاطر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الإبلاغ النظامي عند الانطباق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المعتمد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AML-R02 — سجل صلاحيات الوصول لملفات الاشتباه</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المستخدم/الصفة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نوع الصلاحية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نطاق الملفات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المنح</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صاحب 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الإلغاء</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مراجعة دورية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الاشتباه بغسل الأموال وتمويل الإرهاب النسخة النهائية</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