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bidi/>
      </w:pPr>
      <w:r>
        <w:rPr>
          <w:rFonts w:ascii="Arial" w:hAnsi="Arial" w:cs="Arial" w:eastAsia="Arial"/>
          <w:b/>
          <w:color w:val="20A98B"/>
          <w:sz w:val="26"/>
        </w:rPr>
        <w:t>جمعية البلسم للتدريب والتطوير الصحي</w:t>
      </w:r>
    </w:p>
    <w:p/>
    <w:p/>
    <w:p/>
    <w:p/>
    <w:p>
      <w:pPr>
        <w:jc w:val="center"/>
        <w:bidi/>
      </w:pPr>
      <w:r>
        <w:rPr>
          <w:rFonts w:ascii="Arial" w:hAnsi="Arial" w:cs="Arial" w:eastAsia="Arial"/>
          <w:b/>
          <w:color w:val="124D67"/>
          <w:sz w:val="52"/>
        </w:rPr>
        <w:t>دليل الحوكمة المؤسسية</w:t>
      </w:r>
    </w:p>
    <w:p>
      <w:pPr>
        <w:jc w:val="center"/>
        <w:bidi/>
      </w:pPr>
      <w:r>
        <w:rPr>
          <w:rFonts w:ascii="Arial" w:hAnsi="Arial" w:cs="Arial" w:eastAsia="Arial"/>
          <w:b w:val="0"/>
          <w:color w:val="173642"/>
          <w:sz w:val="28"/>
        </w:rPr>
        <w:t>إطار الحوكمة والرقابة والمساءلة وإدارة أصحاب المصلحة</w:t>
      </w:r>
    </w:p>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tcMar>
              <w:top w:w="80" w:type="dxa"/>
              <w:bottom w:w="80" w:type="dxa"/>
              <w:start w:w="100" w:type="dxa"/>
              <w:end w:w="100" w:type="dxa"/>
            </w:tcMar>
            <w:shd w:fill="124D67"/>
          </w:tcPr>
          <w:p>
            <w:pPr>
              <w:jc w:val="center"/>
              <w:bidi/>
            </w:pPr>
            <w:r/>
            <w:r>
              <w:rPr>
                <w:rFonts w:ascii="Arial" w:hAnsi="Arial" w:cs="Arial" w:eastAsia="Arial"/>
                <w:b/>
                <w:color w:val="FFFFFF"/>
                <w:sz w:val="20"/>
              </w:rPr>
              <w:t>بيانات الإصدار</w:t>
            </w:r>
          </w:p>
        </w:tc>
        <w:tc>
          <w:tcPr>
            <w:tcW w:type="dxa" w:w="4535"/>
            <w:vAlign w:val="center"/>
            <w:tcMar>
              <w:top w:w="80" w:type="dxa"/>
              <w:bottom w:w="80" w:type="dxa"/>
              <w:start w:w="100" w:type="dxa"/>
              <w:end w:w="100" w:type="dxa"/>
            </w:tcMar>
            <w:shd w:fill="124D67"/>
          </w:tcPr>
          <w:p>
            <w:pPr>
              <w:jc w:val="center"/>
              <w:bidi/>
            </w:pPr>
            <w:r/>
            <w:r>
              <w:rPr>
                <w:rFonts w:ascii="Arial" w:hAnsi="Arial" w:cs="Arial" w:eastAsia="Arial"/>
                <w:b/>
                <w:color w:val="FFFFFF"/>
                <w:sz w:val="20"/>
              </w:rPr>
              <w:t>القيمة</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رقم الوثيقة</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GOV-01</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الإصدار</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الأول</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جهة الاعتماد</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مجلس الإدارة</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دورية المراجعة</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كل ثلاث سنوات أو عند تغير الأنظمة أو الهيكل</w:t>
            </w:r>
          </w:p>
        </w:tc>
      </w:tr>
    </w:tbl>
    <w:p/>
    <w:p/>
    <w:p/>
    <w:p/>
    <w:p/>
    <w:p>
      <w:pPr>
        <w:jc w:val="center"/>
        <w:bidi/>
      </w:pPr>
      <w:r>
        <w:rPr>
          <w:rFonts w:ascii="Arial" w:hAnsi="Arial" w:cs="Arial" w:eastAsia="Arial"/>
          <w:b/>
          <w:color w:val="20A98B"/>
          <w:sz w:val="22"/>
        </w:rPr>
        <w:t>إطار الحوكمة المؤسسية</w:t>
      </w:r>
    </w:p>
    <w:p>
      <w:r>
        <w:br w:type="page"/>
      </w:r>
    </w:p>
    <w:p>
      <w:pPr>
        <w:pStyle w:val="Heading1"/>
        <w:jc w:val="right"/>
        <w:bidi/>
      </w:pPr>
      <w:r>
        <w:rPr>
          <w:rFonts w:ascii="Arial" w:hAnsi="Arial" w:cs="Arial" w:eastAsia="Arial"/>
          <w:b/>
          <w:color w:val="124D67"/>
          <w:sz w:val="34"/>
        </w:rPr>
        <w:t>صفحة الاعتماد</w:t>
      </w:r>
    </w:p>
    <w:p>
      <w:pPr>
        <w:jc w:val="both"/>
        <w:bidi/>
      </w:pPr>
      <w:r>
        <w:rPr>
          <w:rFonts w:ascii="Arial" w:hAnsi="Arial" w:cs="Arial" w:eastAsia="Arial"/>
          <w:b w:val="0"/>
          <w:color w:val="173642"/>
          <w:sz w:val="22"/>
        </w:rPr>
        <w:t>اعتمد مجلس إدارة جمعية البلسم للتدريب والتطوير الصحي هذه الوثيقة مرجعًا ملزمًا في نطاقها، ويعمل بها من تاريخ اعتمادها، وتلغى أو تعدل الأحكام الداخلية التي تتعارض معها في حدود ما لا يخالف الأنظمة واللائحة الأساسية.</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tcMar>
              <w:top w:w="80" w:type="dxa"/>
              <w:bottom w:w="80" w:type="dxa"/>
              <w:start w:w="100" w:type="dxa"/>
              <w:end w:w="100" w:type="dxa"/>
            </w:tcMar>
            <w:shd w:fill="124D67"/>
          </w:tcPr>
          <w:p>
            <w:pPr>
              <w:jc w:val="center"/>
              <w:bidi/>
            </w:pPr>
            <w:r/>
            <w:r>
              <w:rPr>
                <w:rFonts w:ascii="Arial" w:hAnsi="Arial" w:cs="Arial" w:eastAsia="Arial"/>
                <w:b/>
                <w:color w:val="FFFFFF"/>
                <w:sz w:val="20"/>
              </w:rPr>
              <w:t>البيان</w:t>
            </w:r>
          </w:p>
        </w:tc>
        <w:tc>
          <w:tcPr>
            <w:tcW w:type="dxa" w:w="4535"/>
            <w:vAlign w:val="center"/>
            <w:tcMar>
              <w:top w:w="80" w:type="dxa"/>
              <w:bottom w:w="80" w:type="dxa"/>
              <w:start w:w="100" w:type="dxa"/>
              <w:end w:w="100" w:type="dxa"/>
            </w:tcMar>
            <w:shd w:fill="124D67"/>
          </w:tcPr>
          <w:p>
            <w:pPr>
              <w:jc w:val="center"/>
              <w:bidi/>
            </w:pPr>
            <w:r/>
            <w:r>
              <w:rPr>
                <w:rFonts w:ascii="Arial" w:hAnsi="Arial" w:cs="Arial" w:eastAsia="Arial"/>
                <w:b/>
                <w:color w:val="FFFFFF"/>
                <w:sz w:val="20"/>
              </w:rPr>
              <w:t>القيمة</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اسم الوثيقة</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دليل الحوكمة المؤسسية</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رقم الوثيقة</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GOV-01</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الإصدار</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الأول</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جهة الإصدار</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جمعية البلسم للتدريب والتطوير الصحي</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جهة الاعتماد</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مجلس الإدارة</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رقم القرار</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تاريخ الاعتماد</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 / .... / ........ م</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تاريخ النفاذ</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 / .... / ........ م</w:t>
            </w:r>
          </w:p>
        </w:tc>
      </w:tr>
    </w:tbl>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tcMar>
              <w:top w:w="80" w:type="dxa"/>
              <w:bottom w:w="80" w:type="dxa"/>
              <w:start w:w="100" w:type="dxa"/>
              <w:end w:w="100" w:type="dxa"/>
            </w:tcMar>
            <w:shd w:fill="124D67"/>
          </w:tcPr>
          <w:p>
            <w:pPr>
              <w:jc w:val="center"/>
              <w:bidi/>
            </w:pPr>
            <w:r/>
            <w:r>
              <w:rPr>
                <w:rFonts w:ascii="Arial" w:hAnsi="Arial" w:cs="Arial" w:eastAsia="Arial"/>
                <w:b/>
                <w:color w:val="FFFFFF"/>
                <w:sz w:val="20"/>
              </w:rPr>
              <w:t>الصفة</w:t>
            </w:r>
          </w:p>
        </w:tc>
        <w:tc>
          <w:tcPr>
            <w:tcW w:type="dxa" w:w="4535"/>
            <w:vAlign w:val="center"/>
            <w:tcMar>
              <w:top w:w="80" w:type="dxa"/>
              <w:bottom w:w="80" w:type="dxa"/>
              <w:start w:w="100" w:type="dxa"/>
              <w:end w:w="100" w:type="dxa"/>
            </w:tcMar>
            <w:shd w:fill="124D67"/>
          </w:tcPr>
          <w:p>
            <w:pPr>
              <w:jc w:val="center"/>
              <w:bidi/>
            </w:pPr>
            <w:r/>
            <w:r>
              <w:rPr>
                <w:rFonts w:ascii="Arial" w:hAnsi="Arial" w:cs="Arial" w:eastAsia="Arial"/>
                <w:b/>
                <w:color w:val="FFFFFF"/>
                <w:sz w:val="20"/>
              </w:rPr>
              <w:t>الاسم والتوقيع والختم</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رئيس مجلس الإدارة</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w:t>
            </w:r>
          </w:p>
        </w:tc>
      </w:tr>
    </w:tbl>
    <w:p>
      <w:r>
        <w:br w:type="page"/>
      </w:r>
    </w:p>
    <w:p>
      <w:pPr>
        <w:pStyle w:val="Heading1"/>
        <w:jc w:val="right"/>
        <w:bidi/>
      </w:pPr>
      <w:r>
        <w:rPr>
          <w:rFonts w:ascii="Arial" w:hAnsi="Arial" w:cs="Arial" w:eastAsia="Arial"/>
          <w:b/>
          <w:color w:val="124D67"/>
          <w:sz w:val="34"/>
        </w:rPr>
        <w:t>1. الغرض والنطاق</w:t>
      </w:r>
    </w:p>
    <w:p>
      <w:pPr>
        <w:jc w:val="both"/>
        <w:bidi/>
      </w:pPr>
      <w:r>
        <w:rPr>
          <w:rFonts w:ascii="Arial" w:hAnsi="Arial" w:cs="Arial" w:eastAsia="Arial"/>
          <w:b w:val="0"/>
          <w:color w:val="173642"/>
          <w:sz w:val="22"/>
        </w:rPr>
        <w:t>يضع هذا الدليل الإطار المؤسسي لحوكمة الجمعية، ويحدد العلاقة بين الجمعية العمومية ومجلس الإدارة واللجان والإدارة التنفيذية، وآليات الرقابة والمساءلة والشفافية وإدارة المخاطر والتعارضات. يطبق على جميع أجهزة الجمعية والعاملين والمتعاونين واللجان عند تشكيلها.</w:t>
      </w:r>
    </w:p>
    <w:p>
      <w:pPr>
        <w:pStyle w:val="Heading1"/>
        <w:jc w:val="right"/>
        <w:bidi/>
      </w:pPr>
      <w:r>
        <w:rPr>
          <w:rFonts w:ascii="Arial" w:hAnsi="Arial" w:cs="Arial" w:eastAsia="Arial"/>
          <w:b/>
          <w:color w:val="124D67"/>
          <w:sz w:val="34"/>
        </w:rPr>
        <w:t>2. مبادئ الحوكمة</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268"/>
            <w:vAlign w:val="center"/>
            <w:tcMar>
              <w:top w:w="80" w:type="dxa"/>
              <w:bottom w:w="80" w:type="dxa"/>
              <w:start w:w="100" w:type="dxa"/>
              <w:end w:w="100" w:type="dxa"/>
            </w:tcMar>
            <w:shd w:fill="124D67"/>
          </w:tcPr>
          <w:p>
            <w:pPr>
              <w:jc w:val="center"/>
              <w:bidi/>
            </w:pPr>
            <w:r/>
            <w:r>
              <w:rPr>
                <w:rFonts w:ascii="Arial" w:hAnsi="Arial" w:cs="Arial" w:eastAsia="Arial"/>
                <w:b/>
                <w:color w:val="FFFFFF"/>
                <w:sz w:val="19"/>
              </w:rPr>
              <w:t>المبدأ</w:t>
            </w:r>
          </w:p>
        </w:tc>
        <w:tc>
          <w:tcPr>
            <w:tcW w:type="dxa" w:w="5669"/>
            <w:vAlign w:val="center"/>
            <w:tcMar>
              <w:top w:w="80" w:type="dxa"/>
              <w:bottom w:w="80" w:type="dxa"/>
              <w:start w:w="100" w:type="dxa"/>
              <w:end w:w="100" w:type="dxa"/>
            </w:tcMar>
            <w:shd w:fill="124D67"/>
          </w:tcPr>
          <w:p>
            <w:pPr>
              <w:jc w:val="center"/>
              <w:bidi/>
            </w:pPr>
            <w:r/>
            <w:r>
              <w:rPr>
                <w:rFonts w:ascii="Arial" w:hAnsi="Arial" w:cs="Arial" w:eastAsia="Arial"/>
                <w:b/>
                <w:color w:val="FFFFFF"/>
                <w:sz w:val="19"/>
              </w:rPr>
              <w:t>التطبيق في الجمعية</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9"/>
              </w:rPr>
              <w:t>المشروعية</w:t>
            </w:r>
          </w:p>
        </w:tc>
        <w:tc>
          <w:tcPr>
            <w:tcW w:type="dxa" w:w="5669"/>
            <w:vAlign w:val="center"/>
            <w:tcMar>
              <w:top w:w="80" w:type="dxa"/>
              <w:bottom w:w="80" w:type="dxa"/>
              <w:start w:w="100" w:type="dxa"/>
              <w:end w:w="100" w:type="dxa"/>
            </w:tcMar>
          </w:tcPr>
          <w:p>
            <w:pPr>
              <w:jc w:val="center"/>
              <w:bidi/>
            </w:pPr>
            <w:r/>
            <w:r>
              <w:rPr>
                <w:rFonts w:ascii="Arial" w:hAnsi="Arial" w:cs="Arial" w:eastAsia="Arial"/>
                <w:b w:val="0"/>
                <w:color w:val="173642"/>
                <w:sz w:val="19"/>
              </w:rPr>
              <w:t>الالتزام بالنظام واللائحة واللائحة الأساسية وقرارات الجهات المختصة.</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9"/>
              </w:rPr>
              <w:t>المساءلة</w:t>
            </w:r>
          </w:p>
        </w:tc>
        <w:tc>
          <w:tcPr>
            <w:tcW w:type="dxa" w:w="5669"/>
            <w:vAlign w:val="center"/>
            <w:tcMar>
              <w:top w:w="80" w:type="dxa"/>
              <w:bottom w:w="80" w:type="dxa"/>
              <w:start w:w="100" w:type="dxa"/>
              <w:end w:w="100" w:type="dxa"/>
            </w:tcMar>
          </w:tcPr>
          <w:p>
            <w:pPr>
              <w:jc w:val="center"/>
              <w:bidi/>
            </w:pPr>
            <w:r/>
            <w:r>
              <w:rPr>
                <w:rFonts w:ascii="Arial" w:hAnsi="Arial" w:cs="Arial" w:eastAsia="Arial"/>
                <w:b w:val="0"/>
                <w:color w:val="173642"/>
                <w:sz w:val="19"/>
              </w:rPr>
              <w:t>وضوح صاحب القرار والجهة المنفذة ومتابعة النتائج.</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9"/>
              </w:rPr>
              <w:t>الشفافية</w:t>
            </w:r>
          </w:p>
        </w:tc>
        <w:tc>
          <w:tcPr>
            <w:tcW w:type="dxa" w:w="5669"/>
            <w:vAlign w:val="center"/>
            <w:tcMar>
              <w:top w:w="80" w:type="dxa"/>
              <w:bottom w:w="80" w:type="dxa"/>
              <w:start w:w="100" w:type="dxa"/>
              <w:end w:w="100" w:type="dxa"/>
            </w:tcMar>
          </w:tcPr>
          <w:p>
            <w:pPr>
              <w:jc w:val="center"/>
              <w:bidi/>
            </w:pPr>
            <w:r/>
            <w:r>
              <w:rPr>
                <w:rFonts w:ascii="Arial" w:hAnsi="Arial" w:cs="Arial" w:eastAsia="Arial"/>
                <w:b w:val="0"/>
                <w:color w:val="173642"/>
                <w:sz w:val="19"/>
              </w:rPr>
              <w:t>إتاحة المعلومات الجوهرية في الوقت المناسب مع حماية البيانات.</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9"/>
              </w:rPr>
              <w:t>الاستقلال والموضوعية</w:t>
            </w:r>
          </w:p>
        </w:tc>
        <w:tc>
          <w:tcPr>
            <w:tcW w:type="dxa" w:w="5669"/>
            <w:vAlign w:val="center"/>
            <w:tcMar>
              <w:top w:w="80" w:type="dxa"/>
              <w:bottom w:w="80" w:type="dxa"/>
              <w:start w:w="100" w:type="dxa"/>
              <w:end w:w="100" w:type="dxa"/>
            </w:tcMar>
          </w:tcPr>
          <w:p>
            <w:pPr>
              <w:jc w:val="center"/>
              <w:bidi/>
            </w:pPr>
            <w:r/>
            <w:r>
              <w:rPr>
                <w:rFonts w:ascii="Arial" w:hAnsi="Arial" w:cs="Arial" w:eastAsia="Arial"/>
                <w:b w:val="0"/>
                <w:color w:val="173642"/>
                <w:sz w:val="19"/>
              </w:rPr>
              <w:t>الفصل بين الاعتماد والتنفيذ والمراجعة وتجنب التأثير غير المشروع.</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9"/>
              </w:rPr>
              <w:t>الكفاءة والفاعلية</w:t>
            </w:r>
          </w:p>
        </w:tc>
        <w:tc>
          <w:tcPr>
            <w:tcW w:type="dxa" w:w="5669"/>
            <w:vAlign w:val="center"/>
            <w:tcMar>
              <w:top w:w="80" w:type="dxa"/>
              <w:bottom w:w="80" w:type="dxa"/>
              <w:start w:w="100" w:type="dxa"/>
              <w:end w:w="100" w:type="dxa"/>
            </w:tcMar>
          </w:tcPr>
          <w:p>
            <w:pPr>
              <w:jc w:val="center"/>
              <w:bidi/>
            </w:pPr>
            <w:r/>
            <w:r>
              <w:rPr>
                <w:rFonts w:ascii="Arial" w:hAnsi="Arial" w:cs="Arial" w:eastAsia="Arial"/>
                <w:b w:val="0"/>
                <w:color w:val="173642"/>
                <w:sz w:val="19"/>
              </w:rPr>
              <w:t>توجيه الموارد للأثر وقياس النتائج والتحسين المستمر.</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9"/>
              </w:rPr>
              <w:t>إدارة المخاطر</w:t>
            </w:r>
          </w:p>
        </w:tc>
        <w:tc>
          <w:tcPr>
            <w:tcW w:type="dxa" w:w="5669"/>
            <w:vAlign w:val="center"/>
            <w:tcMar>
              <w:top w:w="80" w:type="dxa"/>
              <w:bottom w:w="80" w:type="dxa"/>
              <w:start w:w="100" w:type="dxa"/>
              <w:end w:w="100" w:type="dxa"/>
            </w:tcMar>
          </w:tcPr>
          <w:p>
            <w:pPr>
              <w:jc w:val="center"/>
              <w:bidi/>
            </w:pPr>
            <w:r/>
            <w:r>
              <w:rPr>
                <w:rFonts w:ascii="Arial" w:hAnsi="Arial" w:cs="Arial" w:eastAsia="Arial"/>
                <w:b w:val="0"/>
                <w:color w:val="173642"/>
                <w:sz w:val="19"/>
              </w:rPr>
              <w:t>تحديد المخاطر ومعالجتها ومراقبتها ضمن شهية مخاطر معتمدة.</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9"/>
              </w:rPr>
              <w:t>العدالة</w:t>
            </w:r>
          </w:p>
        </w:tc>
        <w:tc>
          <w:tcPr>
            <w:tcW w:type="dxa" w:w="5669"/>
            <w:vAlign w:val="center"/>
            <w:tcMar>
              <w:top w:w="80" w:type="dxa"/>
              <w:bottom w:w="80" w:type="dxa"/>
              <w:start w:w="100" w:type="dxa"/>
              <w:end w:w="100" w:type="dxa"/>
            </w:tcMar>
          </w:tcPr>
          <w:p>
            <w:pPr>
              <w:jc w:val="center"/>
              <w:bidi/>
            </w:pPr>
            <w:r/>
            <w:r>
              <w:rPr>
                <w:rFonts w:ascii="Arial" w:hAnsi="Arial" w:cs="Arial" w:eastAsia="Arial"/>
                <w:b w:val="0"/>
                <w:color w:val="173642"/>
                <w:sz w:val="19"/>
              </w:rPr>
              <w:t>معاملة أصحاب المصلحة دون تمييز وتطبيق الضوابط بصورة متسقة.</w:t>
            </w:r>
          </w:p>
        </w:tc>
      </w:tr>
    </w:tbl>
    <w:p>
      <w:pPr>
        <w:pStyle w:val="Heading1"/>
        <w:jc w:val="right"/>
        <w:bidi/>
      </w:pPr>
      <w:r>
        <w:rPr>
          <w:rFonts w:ascii="Arial" w:hAnsi="Arial" w:cs="Arial" w:eastAsia="Arial"/>
          <w:b/>
          <w:color w:val="124D67"/>
          <w:sz w:val="34"/>
        </w:rPr>
        <w:t>3. هيكل الحوكمة</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tcMar>
              <w:top w:w="80" w:type="dxa"/>
              <w:bottom w:w="80" w:type="dxa"/>
              <w:start w:w="100" w:type="dxa"/>
              <w:end w:w="100" w:type="dxa"/>
            </w:tcMar>
            <w:shd w:fill="124D67"/>
          </w:tcPr>
          <w:p>
            <w:pPr>
              <w:jc w:val="center"/>
              <w:bidi/>
            </w:pPr>
            <w:r/>
            <w:r>
              <w:rPr>
                <w:rFonts w:ascii="Arial" w:hAnsi="Arial" w:cs="Arial" w:eastAsia="Arial"/>
                <w:b/>
                <w:color w:val="FFFFFF"/>
                <w:sz w:val="18"/>
              </w:rPr>
              <w:t>المستوى</w:t>
            </w:r>
          </w:p>
        </w:tc>
        <w:tc>
          <w:tcPr>
            <w:tcW w:type="dxa" w:w="5102"/>
            <w:vAlign w:val="center"/>
            <w:tcMar>
              <w:top w:w="80" w:type="dxa"/>
              <w:bottom w:w="80" w:type="dxa"/>
              <w:start w:w="100" w:type="dxa"/>
              <w:end w:w="100" w:type="dxa"/>
            </w:tcMar>
            <w:shd w:fill="124D67"/>
          </w:tcPr>
          <w:p>
            <w:pPr>
              <w:jc w:val="center"/>
              <w:bidi/>
            </w:pPr>
            <w:r/>
            <w:r>
              <w:rPr>
                <w:rFonts w:ascii="Arial" w:hAnsi="Arial" w:cs="Arial" w:eastAsia="Arial"/>
                <w:b/>
                <w:color w:val="FFFFFF"/>
                <w:sz w:val="18"/>
              </w:rPr>
              <w:t>الدور الحوْكمي</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8"/>
              </w:rPr>
              <w:t>الجمعية العمومية</w:t>
            </w:r>
          </w:p>
        </w:tc>
        <w:tc>
          <w:tcPr>
            <w:tcW w:type="dxa" w:w="5102"/>
            <w:vAlign w:val="center"/>
            <w:tcMar>
              <w:top w:w="80" w:type="dxa"/>
              <w:bottom w:w="80" w:type="dxa"/>
              <w:start w:w="100" w:type="dxa"/>
              <w:end w:w="100" w:type="dxa"/>
            </w:tcMar>
          </w:tcPr>
          <w:p>
            <w:pPr>
              <w:jc w:val="center"/>
              <w:bidi/>
            </w:pPr>
            <w:r/>
            <w:r>
              <w:rPr>
                <w:rFonts w:ascii="Arial" w:hAnsi="Arial" w:cs="Arial" w:eastAsia="Arial"/>
                <w:b w:val="0"/>
                <w:color w:val="173642"/>
                <w:sz w:val="18"/>
              </w:rPr>
              <w:t>أعلى سلطة؛ تمارس اختصاصاتها وفق النظام واللائحة واللائحة الأساسية.</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8"/>
              </w:rPr>
              <w:t>مجلس الإدارة</w:t>
            </w:r>
          </w:p>
        </w:tc>
        <w:tc>
          <w:tcPr>
            <w:tcW w:type="dxa" w:w="5102"/>
            <w:vAlign w:val="center"/>
            <w:tcMar>
              <w:top w:w="80" w:type="dxa"/>
              <w:bottom w:w="80" w:type="dxa"/>
              <w:start w:w="100" w:type="dxa"/>
              <w:end w:w="100" w:type="dxa"/>
            </w:tcMar>
          </w:tcPr>
          <w:p>
            <w:pPr>
              <w:jc w:val="center"/>
              <w:bidi/>
            </w:pPr>
            <w:r/>
            <w:r>
              <w:rPr>
                <w:rFonts w:ascii="Arial" w:hAnsi="Arial" w:cs="Arial" w:eastAsia="Arial"/>
                <w:b w:val="0"/>
                <w:color w:val="173642"/>
                <w:sz w:val="18"/>
              </w:rPr>
              <w:t>يتولى التوجيه والاعتماد والرقابة وحماية أموال الجمعية ومتابعة الأداء.</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8"/>
              </w:rPr>
              <w:t>اللجان الدائمة والمؤقتة</w:t>
            </w:r>
          </w:p>
        </w:tc>
        <w:tc>
          <w:tcPr>
            <w:tcW w:type="dxa" w:w="5102"/>
            <w:vAlign w:val="center"/>
            <w:tcMar>
              <w:top w:w="80" w:type="dxa"/>
              <w:bottom w:w="80" w:type="dxa"/>
              <w:start w:w="100" w:type="dxa"/>
              <w:end w:w="100" w:type="dxa"/>
            </w:tcMar>
          </w:tcPr>
          <w:p>
            <w:pPr>
              <w:jc w:val="center"/>
              <w:bidi/>
            </w:pPr>
            <w:r/>
            <w:r>
              <w:rPr>
                <w:rFonts w:ascii="Arial" w:hAnsi="Arial" w:cs="Arial" w:eastAsia="Arial"/>
                <w:b w:val="0"/>
                <w:color w:val="173642"/>
                <w:sz w:val="18"/>
              </w:rPr>
              <w:t>أدوات مساندة للمجلس؛ لا تمارس أي صلاحية قبل قرار تشكيل يحدد الاختصاص والمدة.</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8"/>
              </w:rPr>
              <w:t>أمانة مجلس الإدارة</w:t>
            </w:r>
          </w:p>
        </w:tc>
        <w:tc>
          <w:tcPr>
            <w:tcW w:type="dxa" w:w="5102"/>
            <w:vAlign w:val="center"/>
            <w:tcMar>
              <w:top w:w="80" w:type="dxa"/>
              <w:bottom w:w="80" w:type="dxa"/>
              <w:start w:w="100" w:type="dxa"/>
              <w:end w:w="100" w:type="dxa"/>
            </w:tcMar>
          </w:tcPr>
          <w:p>
            <w:pPr>
              <w:jc w:val="center"/>
              <w:bidi/>
            </w:pPr>
            <w:r/>
            <w:r>
              <w:rPr>
                <w:rFonts w:ascii="Arial" w:hAnsi="Arial" w:cs="Arial" w:eastAsia="Arial"/>
                <w:b w:val="0"/>
                <w:color w:val="173642"/>
                <w:sz w:val="18"/>
              </w:rPr>
              <w:t>تنظم الاجتماعات والمحاضر وسجل القرارات والمتابعة والتواصل النظامي.</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8"/>
              </w:rPr>
              <w:t>الرئيس التنفيذي</w:t>
            </w:r>
          </w:p>
        </w:tc>
        <w:tc>
          <w:tcPr>
            <w:tcW w:type="dxa" w:w="5102"/>
            <w:vAlign w:val="center"/>
            <w:tcMar>
              <w:top w:w="80" w:type="dxa"/>
              <w:bottom w:w="80" w:type="dxa"/>
              <w:start w:w="100" w:type="dxa"/>
              <w:end w:w="100" w:type="dxa"/>
            </w:tcMar>
          </w:tcPr>
          <w:p>
            <w:pPr>
              <w:jc w:val="center"/>
              <w:bidi/>
            </w:pPr>
            <w:r/>
            <w:r>
              <w:rPr>
                <w:rFonts w:ascii="Arial" w:hAnsi="Arial" w:cs="Arial" w:eastAsia="Arial"/>
                <w:b w:val="0"/>
                <w:color w:val="173642"/>
                <w:sz w:val="18"/>
              </w:rPr>
              <w:t>يقود الإدارة التنفيذية وينفذ قرارات المجلس والخطط والسياسات المعتمدة.</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8"/>
              </w:rPr>
              <w:t>إدارة الحوكمة والامتثال</w:t>
            </w:r>
          </w:p>
        </w:tc>
        <w:tc>
          <w:tcPr>
            <w:tcW w:type="dxa" w:w="5102"/>
            <w:vAlign w:val="center"/>
            <w:tcMar>
              <w:top w:w="80" w:type="dxa"/>
              <w:bottom w:w="80" w:type="dxa"/>
              <w:start w:w="100" w:type="dxa"/>
              <w:end w:w="100" w:type="dxa"/>
            </w:tcMar>
          </w:tcPr>
          <w:p>
            <w:pPr>
              <w:jc w:val="center"/>
              <w:bidi/>
            </w:pPr>
            <w:r/>
            <w:r>
              <w:rPr>
                <w:rFonts w:ascii="Arial" w:hAnsi="Arial" w:cs="Arial" w:eastAsia="Arial"/>
                <w:b w:val="0"/>
                <w:color w:val="173642"/>
                <w:sz w:val="18"/>
              </w:rPr>
              <w:t>تراجع الالتزام وتنسق المخاطر والسياسات والإفصاح وترفع تقارير مستقلة للمجلس.</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8"/>
              </w:rPr>
              <w:t>القطاعات التنفيذية</w:t>
            </w:r>
          </w:p>
        </w:tc>
        <w:tc>
          <w:tcPr>
            <w:tcW w:type="dxa" w:w="5102"/>
            <w:vAlign w:val="center"/>
            <w:tcMar>
              <w:top w:w="80" w:type="dxa"/>
              <w:bottom w:w="80" w:type="dxa"/>
              <w:start w:w="100" w:type="dxa"/>
              <w:end w:w="100" w:type="dxa"/>
            </w:tcMar>
          </w:tcPr>
          <w:p>
            <w:pPr>
              <w:jc w:val="center"/>
              <w:bidi/>
            </w:pPr>
            <w:r/>
            <w:r>
              <w:rPr>
                <w:rFonts w:ascii="Arial" w:hAnsi="Arial" w:cs="Arial" w:eastAsia="Arial"/>
                <w:b w:val="0"/>
                <w:color w:val="173642"/>
                <w:sz w:val="18"/>
              </w:rPr>
              <w:t>العمليات والبرامج، والاستراتيجية وتنمية الموارد، والإدارات والأقسام والوحدات التابعة وفق الهيكل المعتمد.</w:t>
            </w:r>
          </w:p>
        </w:tc>
      </w:tr>
    </w:tbl>
    <w:p>
      <w:pPr>
        <w:pStyle w:val="Heading1"/>
        <w:jc w:val="right"/>
        <w:bidi/>
      </w:pPr>
      <w:r>
        <w:rPr>
          <w:rFonts w:ascii="Arial" w:hAnsi="Arial" w:cs="Arial" w:eastAsia="Arial"/>
          <w:b/>
          <w:color w:val="124D67"/>
          <w:sz w:val="34"/>
        </w:rPr>
        <w:t>4. مسؤوليات مجلس الإدارة</w:t>
      </w:r>
    </w:p>
    <w:p>
      <w:pPr>
        <w:pStyle w:val="ListBullet"/>
        <w:ind w:left="227" w:right="227"/>
        <w:jc w:val="right"/>
        <w:bidi/>
      </w:pPr>
      <w:r>
        <w:rPr>
          <w:rFonts w:ascii="Arial" w:hAnsi="Arial" w:cs="Arial" w:eastAsia="Arial"/>
          <w:b w:val="0"/>
          <w:color w:val="173642"/>
          <w:sz w:val="21"/>
        </w:rPr>
        <w:t>اعتماد السياسات واللوائح والخطط والهياكل ومؤشرات الأداء ومتابعة التنفيذ.</w:t>
      </w:r>
    </w:p>
    <w:p>
      <w:pPr>
        <w:pStyle w:val="ListBullet"/>
        <w:ind w:left="227" w:right="227"/>
        <w:jc w:val="right"/>
        <w:bidi/>
      </w:pPr>
      <w:r>
        <w:rPr>
          <w:rFonts w:ascii="Arial" w:hAnsi="Arial" w:cs="Arial" w:eastAsia="Arial"/>
          <w:b w:val="0"/>
          <w:color w:val="173642"/>
          <w:sz w:val="21"/>
        </w:rPr>
        <w:t>اعتماد أنظمة الرقابة الداخلية وإدارة المخاطر والإشراف على فاعليتها.</w:t>
      </w:r>
    </w:p>
    <w:p>
      <w:pPr>
        <w:pStyle w:val="ListBullet"/>
        <w:ind w:left="227" w:right="227"/>
        <w:jc w:val="right"/>
        <w:bidi/>
      </w:pPr>
      <w:r>
        <w:rPr>
          <w:rFonts w:ascii="Arial" w:hAnsi="Arial" w:cs="Arial" w:eastAsia="Arial"/>
          <w:b w:val="0"/>
          <w:color w:val="173642"/>
          <w:sz w:val="21"/>
        </w:rPr>
        <w:t>حماية أموال الجمعية وممتلكاتها، وضبط التفويضات والتوقيعات البنكية ومتابعتها.</w:t>
      </w:r>
    </w:p>
    <w:p>
      <w:pPr>
        <w:pStyle w:val="ListBullet"/>
        <w:ind w:left="227" w:right="227"/>
        <w:jc w:val="right"/>
        <w:bidi/>
      </w:pPr>
      <w:r>
        <w:rPr>
          <w:rFonts w:ascii="Arial" w:hAnsi="Arial" w:cs="Arial" w:eastAsia="Arial"/>
          <w:b w:val="0"/>
          <w:color w:val="173642"/>
          <w:sz w:val="21"/>
        </w:rPr>
        <w:t>تعيين القيادات التنفيذية وتحديد صلاحياتها ومزاياها ومساءلتها.</w:t>
      </w:r>
    </w:p>
    <w:p>
      <w:pPr>
        <w:pStyle w:val="ListBullet"/>
        <w:ind w:left="227" w:right="227"/>
        <w:jc w:val="right"/>
        <w:bidi/>
      </w:pPr>
      <w:r>
        <w:rPr>
          <w:rFonts w:ascii="Arial" w:hAnsi="Arial" w:cs="Arial" w:eastAsia="Arial"/>
          <w:b w:val="0"/>
          <w:color w:val="173642"/>
          <w:sz w:val="21"/>
        </w:rPr>
        <w:t>ضمان الإفصاح النظامي والرفع للمركز والجهة المشرفة في المدد المحددة.</w:t>
      </w:r>
    </w:p>
    <w:p>
      <w:pPr>
        <w:pStyle w:val="ListBullet"/>
        <w:ind w:left="227" w:right="227"/>
        <w:jc w:val="right"/>
        <w:bidi/>
      </w:pPr>
      <w:r>
        <w:rPr>
          <w:rFonts w:ascii="Arial" w:hAnsi="Arial" w:cs="Arial" w:eastAsia="Arial"/>
          <w:b w:val="0"/>
          <w:color w:val="173642"/>
          <w:sz w:val="21"/>
        </w:rPr>
        <w:t>متابعة تنفيذ قرارات الجمعية العمومية والمراجع الخارجي والجهات التنظيمية.</w:t>
      </w:r>
    </w:p>
    <w:p>
      <w:pPr>
        <w:pStyle w:val="Heading1"/>
        <w:jc w:val="right"/>
        <w:bidi/>
      </w:pPr>
      <w:r>
        <w:rPr>
          <w:rFonts w:ascii="Arial" w:hAnsi="Arial" w:cs="Arial" w:eastAsia="Arial"/>
          <w:b/>
          <w:color w:val="124D67"/>
          <w:sz w:val="34"/>
        </w:rPr>
        <w:t>5. الإدارة التنفيذية والفصل بين الأدوار</w:t>
      </w:r>
    </w:p>
    <w:p>
      <w:pPr>
        <w:jc w:val="both"/>
        <w:bidi/>
      </w:pPr>
      <w:r>
        <w:rPr>
          <w:rFonts w:ascii="Arial" w:hAnsi="Arial" w:cs="Arial" w:eastAsia="Arial"/>
          <w:b w:val="0"/>
          <w:color w:val="173642"/>
          <w:sz w:val="22"/>
        </w:rPr>
        <w:t>تختص الإدارة التنفيذية بالإعداد والتنفيذ والتشغيل والتقارير، ولا تحل مسؤوليتها محل مسؤولية مجلس الإدارة عن الرقابة والاعتماد. ولا يجوز للجهة التي تنفذ معاملة أن تنفرد بالمراجعة والاعتماد والصرف والتسجيل في المعاملة ذاتها. تطبق مصفوفة الصلاحيات بوصفها المرجع التفصيلي للفصل بين الأدوار.</w:t>
      </w:r>
    </w:p>
    <w:p>
      <w:pPr>
        <w:pStyle w:val="Heading1"/>
        <w:jc w:val="right"/>
        <w:bidi/>
      </w:pPr>
      <w:r>
        <w:rPr>
          <w:rFonts w:ascii="Arial" w:hAnsi="Arial" w:cs="Arial" w:eastAsia="Arial"/>
          <w:b/>
          <w:color w:val="124D67"/>
          <w:sz w:val="34"/>
        </w:rPr>
        <w:t>6. اللجان</w:t>
      </w:r>
    </w:p>
    <w:p>
      <w:pPr>
        <w:jc w:val="both"/>
        <w:bidi/>
      </w:pPr>
      <w:r>
        <w:rPr>
          <w:rFonts w:ascii="Arial" w:hAnsi="Arial" w:cs="Arial" w:eastAsia="Arial"/>
          <w:b w:val="0"/>
          <w:color w:val="173642"/>
          <w:sz w:val="22"/>
        </w:rPr>
        <w:t>يشكل المجلس لجنة المراجعة ولجنة الترشيحات والمكافآت وفق القواعد النافذة، وله تشكيل لجان أخرى أو لجنة تنفيذية عند الحاجة. ويصدر لكل لجنة قرار وميثاق يتضمن الغرض والتشكيل والرئاسة والمدة والصلاحيات والنصاب وآلية التقارير والتعارضات. لا يعد ذكر اللجنة في الهيكل تفعيلًا لها.</w:t>
      </w:r>
    </w:p>
    <w:p>
      <w:pPr>
        <w:pStyle w:val="Heading1"/>
        <w:jc w:val="right"/>
        <w:bidi/>
      </w:pPr>
      <w:r>
        <w:rPr>
          <w:rFonts w:ascii="Arial" w:hAnsi="Arial" w:cs="Arial" w:eastAsia="Arial"/>
          <w:b/>
          <w:color w:val="124D67"/>
          <w:sz w:val="34"/>
        </w:rPr>
        <w:t>7. الرقابة الداخلية وإدارة المخاطر</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268"/>
            <w:vAlign w:val="center"/>
            <w:tcMar>
              <w:top w:w="80" w:type="dxa"/>
              <w:bottom w:w="80" w:type="dxa"/>
              <w:start w:w="100" w:type="dxa"/>
              <w:end w:w="100" w:type="dxa"/>
            </w:tcMar>
            <w:shd w:fill="124D67"/>
          </w:tcPr>
          <w:p>
            <w:pPr>
              <w:jc w:val="center"/>
              <w:bidi/>
            </w:pPr>
            <w:r/>
            <w:r>
              <w:rPr>
                <w:rFonts w:ascii="Arial" w:hAnsi="Arial" w:cs="Arial" w:eastAsia="Arial"/>
                <w:b/>
                <w:color w:val="FFFFFF"/>
                <w:sz w:val="18"/>
              </w:rPr>
              <w:t>العنصر</w:t>
            </w:r>
          </w:p>
        </w:tc>
        <w:tc>
          <w:tcPr>
            <w:tcW w:type="dxa" w:w="5669"/>
            <w:vAlign w:val="center"/>
            <w:tcMar>
              <w:top w:w="80" w:type="dxa"/>
              <w:bottom w:w="80" w:type="dxa"/>
              <w:start w:w="100" w:type="dxa"/>
              <w:end w:w="100" w:type="dxa"/>
            </w:tcMar>
            <w:shd w:fill="124D67"/>
          </w:tcPr>
          <w:p>
            <w:pPr>
              <w:jc w:val="center"/>
              <w:bidi/>
            </w:pPr>
            <w:r/>
            <w:r>
              <w:rPr>
                <w:rFonts w:ascii="Arial" w:hAnsi="Arial" w:cs="Arial" w:eastAsia="Arial"/>
                <w:b/>
                <w:color w:val="FFFFFF"/>
                <w:sz w:val="18"/>
              </w:rPr>
              <w:t>الحد الأدنى للتطبيق</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8"/>
              </w:rPr>
              <w:t>بيئة الرقابة</w:t>
            </w:r>
          </w:p>
        </w:tc>
        <w:tc>
          <w:tcPr>
            <w:tcW w:type="dxa" w:w="5669"/>
            <w:vAlign w:val="center"/>
            <w:tcMar>
              <w:top w:w="80" w:type="dxa"/>
              <w:bottom w:w="80" w:type="dxa"/>
              <w:start w:w="100" w:type="dxa"/>
              <w:end w:w="100" w:type="dxa"/>
            </w:tcMar>
          </w:tcPr>
          <w:p>
            <w:pPr>
              <w:jc w:val="center"/>
              <w:bidi/>
            </w:pPr>
            <w:r/>
            <w:r>
              <w:rPr>
                <w:rFonts w:ascii="Arial" w:hAnsi="Arial" w:cs="Arial" w:eastAsia="Arial"/>
                <w:b w:val="0"/>
                <w:color w:val="173642"/>
                <w:sz w:val="18"/>
              </w:rPr>
              <w:t>سياسات معتمدة، مسؤوليات محددة، قيم وسلوك مهني، فصل واجبات.</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8"/>
              </w:rPr>
              <w:t>تقييم المخاطر</w:t>
            </w:r>
          </w:p>
        </w:tc>
        <w:tc>
          <w:tcPr>
            <w:tcW w:type="dxa" w:w="5669"/>
            <w:vAlign w:val="center"/>
            <w:tcMar>
              <w:top w:w="80" w:type="dxa"/>
              <w:bottom w:w="80" w:type="dxa"/>
              <w:start w:w="100" w:type="dxa"/>
              <w:end w:w="100" w:type="dxa"/>
            </w:tcMar>
          </w:tcPr>
          <w:p>
            <w:pPr>
              <w:jc w:val="center"/>
              <w:bidi/>
            </w:pPr>
            <w:r/>
            <w:r>
              <w:rPr>
                <w:rFonts w:ascii="Arial" w:hAnsi="Arial" w:cs="Arial" w:eastAsia="Arial"/>
                <w:b w:val="0"/>
                <w:color w:val="173642"/>
                <w:sz w:val="18"/>
              </w:rPr>
              <w:t>سجل مخاطر مؤسسي وملاك مخاطر وخطط معالجة ومراجعة ربع سنوية.</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8"/>
              </w:rPr>
              <w:t>الأنشطة الرقابية</w:t>
            </w:r>
          </w:p>
        </w:tc>
        <w:tc>
          <w:tcPr>
            <w:tcW w:type="dxa" w:w="5669"/>
            <w:vAlign w:val="center"/>
            <w:tcMar>
              <w:top w:w="80" w:type="dxa"/>
              <w:bottom w:w="80" w:type="dxa"/>
              <w:start w:w="100" w:type="dxa"/>
              <w:end w:w="100" w:type="dxa"/>
            </w:tcMar>
          </w:tcPr>
          <w:p>
            <w:pPr>
              <w:jc w:val="center"/>
              <w:bidi/>
            </w:pPr>
            <w:r/>
            <w:r>
              <w:rPr>
                <w:rFonts w:ascii="Arial" w:hAnsi="Arial" w:cs="Arial" w:eastAsia="Arial"/>
                <w:b w:val="0"/>
                <w:color w:val="173642"/>
                <w:sz w:val="18"/>
              </w:rPr>
              <w:t>موافقات، مطابقات، جرد، صلاحيات وصول، رقابة مالية وتشغيلية.</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8"/>
              </w:rPr>
              <w:t>المعلومات والتقارير</w:t>
            </w:r>
          </w:p>
        </w:tc>
        <w:tc>
          <w:tcPr>
            <w:tcW w:type="dxa" w:w="5669"/>
            <w:vAlign w:val="center"/>
            <w:tcMar>
              <w:top w:w="80" w:type="dxa"/>
              <w:bottom w:w="80" w:type="dxa"/>
              <w:start w:w="100" w:type="dxa"/>
              <w:end w:w="100" w:type="dxa"/>
            </w:tcMar>
          </w:tcPr>
          <w:p>
            <w:pPr>
              <w:jc w:val="center"/>
              <w:bidi/>
            </w:pPr>
            <w:r/>
            <w:r>
              <w:rPr>
                <w:rFonts w:ascii="Arial" w:hAnsi="Arial" w:cs="Arial" w:eastAsia="Arial"/>
                <w:b w:val="0"/>
                <w:color w:val="173642"/>
                <w:sz w:val="18"/>
              </w:rPr>
              <w:t>تقارير دقيقة وفي وقتها ومسارات تصعيد وحفظ أدلة.</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8"/>
              </w:rPr>
              <w:t>المتابعة</w:t>
            </w:r>
          </w:p>
        </w:tc>
        <w:tc>
          <w:tcPr>
            <w:tcW w:type="dxa" w:w="5669"/>
            <w:vAlign w:val="center"/>
            <w:tcMar>
              <w:top w:w="80" w:type="dxa"/>
              <w:bottom w:w="80" w:type="dxa"/>
              <w:start w:w="100" w:type="dxa"/>
              <w:end w:w="100" w:type="dxa"/>
            </w:tcMar>
          </w:tcPr>
          <w:p>
            <w:pPr>
              <w:jc w:val="center"/>
              <w:bidi/>
            </w:pPr>
            <w:r/>
            <w:r>
              <w:rPr>
                <w:rFonts w:ascii="Arial" w:hAnsi="Arial" w:cs="Arial" w:eastAsia="Arial"/>
                <w:b w:val="0"/>
                <w:color w:val="173642"/>
                <w:sz w:val="18"/>
              </w:rPr>
              <w:t>خطة مراجعة، متابعة الملاحظات، تقارير للمجلس، وإغلاق موثق.</w:t>
            </w:r>
          </w:p>
        </w:tc>
      </w:tr>
    </w:tbl>
    <w:p>
      <w:pPr>
        <w:pStyle w:val="Heading1"/>
        <w:jc w:val="right"/>
        <w:bidi/>
      </w:pPr>
      <w:r>
        <w:rPr>
          <w:rFonts w:ascii="Arial" w:hAnsi="Arial" w:cs="Arial" w:eastAsia="Arial"/>
          <w:b/>
          <w:color w:val="124D67"/>
          <w:sz w:val="34"/>
        </w:rPr>
        <w:t>8. النزاهة وتعارض المصالح</w:t>
      </w:r>
    </w:p>
    <w:p>
      <w:pPr>
        <w:jc w:val="both"/>
        <w:bidi/>
      </w:pPr>
      <w:r>
        <w:rPr>
          <w:rFonts w:ascii="Arial" w:hAnsi="Arial" w:cs="Arial" w:eastAsia="Arial"/>
          <w:b w:val="0"/>
          <w:color w:val="173642"/>
          <w:sz w:val="22"/>
        </w:rPr>
        <w:t>يفصح أعضاء الجمعية العمومية والمجلس واللجان والقيادات والعاملون والمتعاقدون عن المصالح الفعلية أو المحتملة. يمتنع صاحب التعارض عن الاطلاع المؤثر والمناقشة والتصويت، ويثبت ذلك في المحضر والسجل، ويحدد المجلس المعالجة المناسبة دون الإخلال بالسياسة المعتمدة.</w:t>
      </w:r>
    </w:p>
    <w:p>
      <w:pPr>
        <w:pStyle w:val="Heading1"/>
        <w:jc w:val="right"/>
        <w:bidi/>
      </w:pPr>
      <w:r>
        <w:rPr>
          <w:rFonts w:ascii="Arial" w:hAnsi="Arial" w:cs="Arial" w:eastAsia="Arial"/>
          <w:b/>
          <w:color w:val="124D67"/>
          <w:sz w:val="34"/>
        </w:rPr>
        <w:t>9. الإفصاح والشفافية وحماية البيانات</w:t>
      </w:r>
    </w:p>
    <w:p>
      <w:pPr>
        <w:jc w:val="both"/>
        <w:bidi/>
      </w:pPr>
      <w:r>
        <w:rPr>
          <w:rFonts w:ascii="Arial" w:hAnsi="Arial" w:cs="Arial" w:eastAsia="Arial"/>
          <w:b w:val="0"/>
          <w:color w:val="173642"/>
          <w:sz w:val="22"/>
        </w:rPr>
        <w:t>تنشر الجمعية المعلومات والوثائق الواجب نشرها بعد الاعتماد والتنقيح، وتفصل النسخ العامة عن السجلات التشغيلية الحساسة. تحمى بيانات المستفيدين والموظفين والمانحين وفق مبدأ الحاجة إلى المعرفة وسياسات حماية البيانات وحفظ السجلات.</w:t>
      </w:r>
    </w:p>
    <w:p>
      <w:pPr>
        <w:pStyle w:val="Heading1"/>
        <w:jc w:val="right"/>
        <w:bidi/>
      </w:pPr>
      <w:r>
        <w:rPr>
          <w:rFonts w:ascii="Arial" w:hAnsi="Arial" w:cs="Arial" w:eastAsia="Arial"/>
          <w:b/>
          <w:color w:val="124D67"/>
          <w:sz w:val="34"/>
        </w:rPr>
        <w:t>10. قياس الأداء والمساءلة</w:t>
      </w:r>
    </w:p>
    <w:tbl>
      <w:tblPr>
        <w:tblStyle w:val="TableGrid"/>
        <w:tblW w:type="auto" w:w="0"/>
        <w:jc w:val="center"/>
        <w:tblLayout w:type="fixed"/>
        <w:tblLook w:firstColumn="1" w:firstRow="1" w:lastColumn="0" w:lastRow="0" w:noHBand="0" w:noVBand="1" w:val="04A0"/>
        <w:bidiVisual w:val="1"/>
      </w:tblPr>
      <w:tblGrid>
        <w:gridCol w:w="3213"/>
        <w:gridCol w:w="3213"/>
        <w:gridCol w:w="3213"/>
      </w:tblGrid>
      <w:tr>
        <w:trPr>
          <w:tblHeader w:val="true"/>
        </w:trPr>
        <w:tc>
          <w:tcPr>
            <w:tcW w:type="dxa" w:w="2268"/>
            <w:vAlign w:val="center"/>
            <w:tcMar>
              <w:top w:w="80" w:type="dxa"/>
              <w:bottom w:w="80" w:type="dxa"/>
              <w:start w:w="100" w:type="dxa"/>
              <w:end w:w="100" w:type="dxa"/>
            </w:tcMar>
            <w:shd w:fill="124D67"/>
          </w:tcPr>
          <w:p>
            <w:pPr>
              <w:jc w:val="center"/>
              <w:bidi/>
            </w:pPr>
            <w:r/>
            <w:r>
              <w:rPr>
                <w:rFonts w:ascii="Arial" w:hAnsi="Arial" w:cs="Arial" w:eastAsia="Arial"/>
                <w:b/>
                <w:color w:val="FFFFFF"/>
                <w:sz w:val="18"/>
              </w:rPr>
              <w:t>المستوى</w:t>
            </w:r>
          </w:p>
        </w:tc>
        <w:tc>
          <w:tcPr>
            <w:tcW w:type="dxa" w:w="3969"/>
            <w:vAlign w:val="center"/>
            <w:tcMar>
              <w:top w:w="80" w:type="dxa"/>
              <w:bottom w:w="80" w:type="dxa"/>
              <w:start w:w="100" w:type="dxa"/>
              <w:end w:w="100" w:type="dxa"/>
            </w:tcMar>
            <w:shd w:fill="124D67"/>
          </w:tcPr>
          <w:p>
            <w:pPr>
              <w:jc w:val="center"/>
              <w:bidi/>
            </w:pPr>
            <w:r/>
            <w:r>
              <w:rPr>
                <w:rFonts w:ascii="Arial" w:hAnsi="Arial" w:cs="Arial" w:eastAsia="Arial"/>
                <w:b/>
                <w:color w:val="FFFFFF"/>
                <w:sz w:val="18"/>
              </w:rPr>
              <w:t>أداة المتابعة</w:t>
            </w:r>
          </w:p>
        </w:tc>
        <w:tc>
          <w:tcPr>
            <w:tcW w:type="dxa" w:w="1701"/>
            <w:vAlign w:val="center"/>
            <w:tcMar>
              <w:top w:w="80" w:type="dxa"/>
              <w:bottom w:w="80" w:type="dxa"/>
              <w:start w:w="100" w:type="dxa"/>
              <w:end w:w="100" w:type="dxa"/>
            </w:tcMar>
            <w:shd w:fill="124D67"/>
          </w:tcPr>
          <w:p>
            <w:pPr>
              <w:jc w:val="center"/>
              <w:bidi/>
            </w:pPr>
            <w:r/>
            <w:r>
              <w:rPr>
                <w:rFonts w:ascii="Arial" w:hAnsi="Arial" w:cs="Arial" w:eastAsia="Arial"/>
                <w:b/>
                <w:color w:val="FFFFFF"/>
                <w:sz w:val="18"/>
              </w:rPr>
              <w:t>الدورية</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8"/>
              </w:rPr>
              <w:t>مجلس الإدارة</w:t>
            </w:r>
          </w:p>
        </w:tc>
        <w:tc>
          <w:tcPr>
            <w:tcW w:type="dxa" w:w="3969"/>
            <w:vAlign w:val="center"/>
            <w:tcMar>
              <w:top w:w="80" w:type="dxa"/>
              <w:bottom w:w="80" w:type="dxa"/>
              <w:start w:w="100" w:type="dxa"/>
              <w:end w:w="100" w:type="dxa"/>
            </w:tcMar>
          </w:tcPr>
          <w:p>
            <w:pPr>
              <w:jc w:val="center"/>
              <w:bidi/>
            </w:pPr>
            <w:r/>
            <w:r>
              <w:rPr>
                <w:rFonts w:ascii="Arial" w:hAnsi="Arial" w:cs="Arial" w:eastAsia="Arial"/>
                <w:b w:val="0"/>
                <w:color w:val="173642"/>
                <w:sz w:val="18"/>
              </w:rPr>
              <w:t>لوحة حوكمة وأداء ومخاطر وقرارات</w:t>
            </w:r>
          </w:p>
        </w:tc>
        <w:tc>
          <w:tcPr>
            <w:tcW w:type="dxa" w:w="1701"/>
            <w:vAlign w:val="center"/>
            <w:tcMar>
              <w:top w:w="80" w:type="dxa"/>
              <w:bottom w:w="80" w:type="dxa"/>
              <w:start w:w="100" w:type="dxa"/>
              <w:end w:w="100" w:type="dxa"/>
            </w:tcMar>
          </w:tcPr>
          <w:p>
            <w:pPr>
              <w:jc w:val="center"/>
              <w:bidi/>
            </w:pPr>
            <w:r/>
            <w:r>
              <w:rPr>
                <w:rFonts w:ascii="Arial" w:hAnsi="Arial" w:cs="Arial" w:eastAsia="Arial"/>
                <w:b w:val="0"/>
                <w:color w:val="173642"/>
                <w:sz w:val="18"/>
              </w:rPr>
              <w:t>ربع سنوية</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8"/>
              </w:rPr>
              <w:t>الرئيس التنفيذي</w:t>
            </w:r>
          </w:p>
        </w:tc>
        <w:tc>
          <w:tcPr>
            <w:tcW w:type="dxa" w:w="3969"/>
            <w:vAlign w:val="center"/>
            <w:tcMar>
              <w:top w:w="80" w:type="dxa"/>
              <w:bottom w:w="80" w:type="dxa"/>
              <w:start w:w="100" w:type="dxa"/>
              <w:end w:w="100" w:type="dxa"/>
            </w:tcMar>
          </w:tcPr>
          <w:p>
            <w:pPr>
              <w:jc w:val="center"/>
              <w:bidi/>
            </w:pPr>
            <w:r/>
            <w:r>
              <w:rPr>
                <w:rFonts w:ascii="Arial" w:hAnsi="Arial" w:cs="Arial" w:eastAsia="Arial"/>
                <w:b w:val="0"/>
                <w:color w:val="173642"/>
                <w:sz w:val="18"/>
              </w:rPr>
              <w:t>الخطة التشغيلية والموازنة ومؤشرات الإدارات</w:t>
            </w:r>
          </w:p>
        </w:tc>
        <w:tc>
          <w:tcPr>
            <w:tcW w:type="dxa" w:w="1701"/>
            <w:vAlign w:val="center"/>
            <w:tcMar>
              <w:top w:w="80" w:type="dxa"/>
              <w:bottom w:w="80" w:type="dxa"/>
              <w:start w:w="100" w:type="dxa"/>
              <w:end w:w="100" w:type="dxa"/>
            </w:tcMar>
          </w:tcPr>
          <w:p>
            <w:pPr>
              <w:jc w:val="center"/>
              <w:bidi/>
            </w:pPr>
            <w:r/>
            <w:r>
              <w:rPr>
                <w:rFonts w:ascii="Arial" w:hAnsi="Arial" w:cs="Arial" w:eastAsia="Arial"/>
                <w:b w:val="0"/>
                <w:color w:val="173642"/>
                <w:sz w:val="18"/>
              </w:rPr>
              <w:t>شهرية/ربع سنوية</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8"/>
              </w:rPr>
              <w:t>إدارة الحوكمة</w:t>
            </w:r>
          </w:p>
        </w:tc>
        <w:tc>
          <w:tcPr>
            <w:tcW w:type="dxa" w:w="3969"/>
            <w:vAlign w:val="center"/>
            <w:tcMar>
              <w:top w:w="80" w:type="dxa"/>
              <w:bottom w:w="80" w:type="dxa"/>
              <w:start w:w="100" w:type="dxa"/>
              <w:end w:w="100" w:type="dxa"/>
            </w:tcMar>
          </w:tcPr>
          <w:p>
            <w:pPr>
              <w:jc w:val="center"/>
              <w:bidi/>
            </w:pPr>
            <w:r/>
            <w:r>
              <w:rPr>
                <w:rFonts w:ascii="Arial" w:hAnsi="Arial" w:cs="Arial" w:eastAsia="Arial"/>
                <w:b w:val="0"/>
                <w:color w:val="173642"/>
                <w:sz w:val="18"/>
              </w:rPr>
              <w:t>الالتزام والمخاطر والإفصاح وتعارض المصالح</w:t>
            </w:r>
          </w:p>
        </w:tc>
        <w:tc>
          <w:tcPr>
            <w:tcW w:type="dxa" w:w="1701"/>
            <w:vAlign w:val="center"/>
            <w:tcMar>
              <w:top w:w="80" w:type="dxa"/>
              <w:bottom w:w="80" w:type="dxa"/>
              <w:start w:w="100" w:type="dxa"/>
              <w:end w:w="100" w:type="dxa"/>
            </w:tcMar>
          </w:tcPr>
          <w:p>
            <w:pPr>
              <w:jc w:val="center"/>
              <w:bidi/>
            </w:pPr>
            <w:r/>
            <w:r>
              <w:rPr>
                <w:rFonts w:ascii="Arial" w:hAnsi="Arial" w:cs="Arial" w:eastAsia="Arial"/>
                <w:b w:val="0"/>
                <w:color w:val="173642"/>
                <w:sz w:val="18"/>
              </w:rPr>
              <w:t>ربع سنوية</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8"/>
              </w:rPr>
              <w:t>القطاعات التنفيذية</w:t>
            </w:r>
          </w:p>
        </w:tc>
        <w:tc>
          <w:tcPr>
            <w:tcW w:type="dxa" w:w="3969"/>
            <w:vAlign w:val="center"/>
            <w:tcMar>
              <w:top w:w="80" w:type="dxa"/>
              <w:bottom w:w="80" w:type="dxa"/>
              <w:start w:w="100" w:type="dxa"/>
              <w:end w:w="100" w:type="dxa"/>
            </w:tcMar>
          </w:tcPr>
          <w:p>
            <w:pPr>
              <w:jc w:val="center"/>
              <w:bidi/>
            </w:pPr>
            <w:r/>
            <w:r>
              <w:rPr>
                <w:rFonts w:ascii="Arial" w:hAnsi="Arial" w:cs="Arial" w:eastAsia="Arial"/>
                <w:b w:val="0"/>
                <w:color w:val="173642"/>
                <w:sz w:val="18"/>
              </w:rPr>
              <w:t>مؤشرات البرامج والمشاريع والخدمات</w:t>
            </w:r>
          </w:p>
        </w:tc>
        <w:tc>
          <w:tcPr>
            <w:tcW w:type="dxa" w:w="1701"/>
            <w:vAlign w:val="center"/>
            <w:tcMar>
              <w:top w:w="80" w:type="dxa"/>
              <w:bottom w:w="80" w:type="dxa"/>
              <w:start w:w="100" w:type="dxa"/>
              <w:end w:w="100" w:type="dxa"/>
            </w:tcMar>
          </w:tcPr>
          <w:p>
            <w:pPr>
              <w:jc w:val="center"/>
              <w:bidi/>
            </w:pPr>
            <w:r/>
            <w:r>
              <w:rPr>
                <w:rFonts w:ascii="Arial" w:hAnsi="Arial" w:cs="Arial" w:eastAsia="Arial"/>
                <w:b w:val="0"/>
                <w:color w:val="173642"/>
                <w:sz w:val="18"/>
              </w:rPr>
              <w:t>شهرية</w:t>
            </w:r>
          </w:p>
        </w:tc>
      </w:tr>
    </w:tbl>
    <w:p>
      <w:pPr>
        <w:pStyle w:val="Heading1"/>
        <w:jc w:val="right"/>
        <w:bidi/>
      </w:pPr>
      <w:r>
        <w:rPr>
          <w:rFonts w:ascii="Arial" w:hAnsi="Arial" w:cs="Arial" w:eastAsia="Arial"/>
          <w:b/>
          <w:color w:val="124D67"/>
          <w:sz w:val="34"/>
        </w:rPr>
        <w:t>11. دورة السياسات والقرارات</w:t>
      </w:r>
    </w:p>
    <w:p>
      <w:pPr>
        <w:pStyle w:val="ListBullet"/>
        <w:ind w:left="227" w:right="227"/>
        <w:jc w:val="right"/>
        <w:bidi/>
      </w:pPr>
      <w:r>
        <w:rPr>
          <w:rFonts w:ascii="Arial" w:hAnsi="Arial" w:cs="Arial" w:eastAsia="Arial"/>
          <w:b w:val="0"/>
          <w:color w:val="173642"/>
          <w:sz w:val="21"/>
        </w:rPr>
        <w:t>تحديد الحاجة والمالك التنظيمي والمرجع النظامي.</w:t>
      </w:r>
    </w:p>
    <w:p>
      <w:pPr>
        <w:pStyle w:val="ListBullet"/>
        <w:ind w:left="227" w:right="227"/>
        <w:jc w:val="right"/>
        <w:bidi/>
      </w:pPr>
      <w:r>
        <w:rPr>
          <w:rFonts w:ascii="Arial" w:hAnsi="Arial" w:cs="Arial" w:eastAsia="Arial"/>
          <w:b w:val="0"/>
          <w:color w:val="173642"/>
          <w:sz w:val="21"/>
        </w:rPr>
        <w:t>إعداد المسودة ومراجعتها قانونيًا وماليًا وتشغيليًا حسب الموضوع.</w:t>
      </w:r>
    </w:p>
    <w:p>
      <w:pPr>
        <w:pStyle w:val="ListBullet"/>
        <w:ind w:left="227" w:right="227"/>
        <w:jc w:val="right"/>
        <w:bidi/>
      </w:pPr>
      <w:r>
        <w:rPr>
          <w:rFonts w:ascii="Arial" w:hAnsi="Arial" w:cs="Arial" w:eastAsia="Arial"/>
          <w:b w:val="0"/>
          <w:color w:val="173642"/>
          <w:sz w:val="21"/>
        </w:rPr>
        <w:t>التوصية ثم الاعتماد وفق مصفوفة الصلاحيات.</w:t>
      </w:r>
    </w:p>
    <w:p>
      <w:pPr>
        <w:pStyle w:val="ListBullet"/>
        <w:ind w:left="227" w:right="227"/>
        <w:jc w:val="right"/>
        <w:bidi/>
      </w:pPr>
      <w:r>
        <w:rPr>
          <w:rFonts w:ascii="Arial" w:hAnsi="Arial" w:cs="Arial" w:eastAsia="Arial"/>
          <w:b w:val="0"/>
          <w:color w:val="173642"/>
          <w:sz w:val="21"/>
        </w:rPr>
        <w:t>تسجيل الإصدار والنفاذ والتعميم والتدريب.</w:t>
      </w:r>
    </w:p>
    <w:p>
      <w:pPr>
        <w:pStyle w:val="ListBullet"/>
        <w:ind w:left="227" w:right="227"/>
        <w:jc w:val="right"/>
        <w:bidi/>
      </w:pPr>
      <w:r>
        <w:rPr>
          <w:rFonts w:ascii="Arial" w:hAnsi="Arial" w:cs="Arial" w:eastAsia="Arial"/>
          <w:b w:val="0"/>
          <w:color w:val="173642"/>
          <w:sz w:val="21"/>
        </w:rPr>
        <w:t>متابعة التطبيق والامتثال وقياس الأثر.</w:t>
      </w:r>
    </w:p>
    <w:p>
      <w:pPr>
        <w:pStyle w:val="ListBullet"/>
        <w:ind w:left="227" w:right="227"/>
        <w:jc w:val="right"/>
        <w:bidi/>
      </w:pPr>
      <w:r>
        <w:rPr>
          <w:rFonts w:ascii="Arial" w:hAnsi="Arial" w:cs="Arial" w:eastAsia="Arial"/>
          <w:b w:val="0"/>
          <w:color w:val="173642"/>
          <w:sz w:val="21"/>
        </w:rPr>
        <w:t>المراجعة الدورية أو عند تغير النظام أو الهيكل أو المخاطر.</w:t>
      </w:r>
    </w:p>
    <w:p>
      <w:pPr>
        <w:pStyle w:val="Heading1"/>
        <w:jc w:val="right"/>
        <w:bidi/>
      </w:pPr>
      <w:r>
        <w:rPr>
          <w:rFonts w:ascii="Arial" w:hAnsi="Arial" w:cs="Arial" w:eastAsia="Arial"/>
          <w:b/>
          <w:color w:val="124D67"/>
          <w:sz w:val="34"/>
        </w:rPr>
        <w:t>12. سجل الحوكمة الإلزامي</w:t>
      </w:r>
    </w:p>
    <w:tbl>
      <w:tblPr>
        <w:tblStyle w:val="TableGrid"/>
        <w:tblW w:type="auto" w:w="0"/>
        <w:jc w:val="center"/>
        <w:tblLayout w:type="fixed"/>
        <w:tblLook w:firstColumn="1" w:firstRow="1" w:lastColumn="0" w:lastRow="0" w:noHBand="0" w:noVBand="1" w:val="04A0"/>
        <w:bidiVisual w:val="1"/>
      </w:tblPr>
      <w:tblGrid>
        <w:gridCol w:w="3213"/>
        <w:gridCol w:w="3213"/>
        <w:gridCol w:w="3213"/>
      </w:tblGrid>
      <w:tr>
        <w:trPr>
          <w:tblHeader w:val="true"/>
        </w:trPr>
        <w:tc>
          <w:tcPr>
            <w:tcW w:type="dxa" w:w="2268"/>
            <w:vAlign w:val="center"/>
            <w:tcMar>
              <w:top w:w="80" w:type="dxa"/>
              <w:bottom w:w="80" w:type="dxa"/>
              <w:start w:w="100" w:type="dxa"/>
              <w:end w:w="100" w:type="dxa"/>
            </w:tcMar>
            <w:shd w:fill="124D67"/>
          </w:tcPr>
          <w:p>
            <w:pPr>
              <w:jc w:val="center"/>
              <w:bidi/>
            </w:pPr>
            <w:r/>
            <w:r>
              <w:rPr>
                <w:rFonts w:ascii="Arial" w:hAnsi="Arial" w:cs="Arial" w:eastAsia="Arial"/>
                <w:b/>
                <w:color w:val="FFFFFF"/>
                <w:sz w:val="17"/>
              </w:rPr>
              <w:t>السجل</w:t>
            </w:r>
          </w:p>
        </w:tc>
        <w:tc>
          <w:tcPr>
            <w:tcW w:type="dxa" w:w="2268"/>
            <w:vAlign w:val="center"/>
            <w:tcMar>
              <w:top w:w="80" w:type="dxa"/>
              <w:bottom w:w="80" w:type="dxa"/>
              <w:start w:w="100" w:type="dxa"/>
              <w:end w:w="100" w:type="dxa"/>
            </w:tcMar>
            <w:shd w:fill="124D67"/>
          </w:tcPr>
          <w:p>
            <w:pPr>
              <w:jc w:val="center"/>
              <w:bidi/>
            </w:pPr>
            <w:r/>
            <w:r>
              <w:rPr>
                <w:rFonts w:ascii="Arial" w:hAnsi="Arial" w:cs="Arial" w:eastAsia="Arial"/>
                <w:b/>
                <w:color w:val="FFFFFF"/>
                <w:sz w:val="17"/>
              </w:rPr>
              <w:t>المالك</w:t>
            </w:r>
          </w:p>
        </w:tc>
        <w:tc>
          <w:tcPr>
            <w:tcW w:type="dxa" w:w="3969"/>
            <w:vAlign w:val="center"/>
            <w:tcMar>
              <w:top w:w="80" w:type="dxa"/>
              <w:bottom w:w="80" w:type="dxa"/>
              <w:start w:w="100" w:type="dxa"/>
              <w:end w:w="100" w:type="dxa"/>
            </w:tcMar>
            <w:shd w:fill="124D67"/>
          </w:tcPr>
          <w:p>
            <w:pPr>
              <w:jc w:val="center"/>
              <w:bidi/>
            </w:pPr>
            <w:r/>
            <w:r>
              <w:rPr>
                <w:rFonts w:ascii="Arial" w:hAnsi="Arial" w:cs="Arial" w:eastAsia="Arial"/>
                <w:b/>
                <w:color w:val="FFFFFF"/>
                <w:sz w:val="17"/>
              </w:rPr>
              <w:t>الحد الأدنى للمحتوى</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7"/>
              </w:rPr>
              <w:t>سجل قرارات المجلس</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أمانة المجلس</w:t>
            </w:r>
          </w:p>
        </w:tc>
        <w:tc>
          <w:tcPr>
            <w:tcW w:type="dxa" w:w="3969"/>
            <w:vAlign w:val="center"/>
            <w:tcMar>
              <w:top w:w="80" w:type="dxa"/>
              <w:bottom w:w="80" w:type="dxa"/>
              <w:start w:w="100" w:type="dxa"/>
              <w:end w:w="100" w:type="dxa"/>
            </w:tcMar>
          </w:tcPr>
          <w:p>
            <w:pPr>
              <w:jc w:val="center"/>
              <w:bidi/>
            </w:pPr>
            <w:r/>
            <w:r>
              <w:rPr>
                <w:rFonts w:ascii="Arial" w:hAnsi="Arial" w:cs="Arial" w:eastAsia="Arial"/>
                <w:b w:val="0"/>
                <w:color w:val="173642"/>
                <w:sz w:val="17"/>
              </w:rPr>
              <w:t>القرار، التاريخ، المسؤول، الموعد، الحالة، دليل الإغلاق</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7"/>
              </w:rPr>
              <w:t>سجل اللجان</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أمانة المجلس</w:t>
            </w:r>
          </w:p>
        </w:tc>
        <w:tc>
          <w:tcPr>
            <w:tcW w:type="dxa" w:w="3969"/>
            <w:vAlign w:val="center"/>
            <w:tcMar>
              <w:top w:w="80" w:type="dxa"/>
              <w:bottom w:w="80" w:type="dxa"/>
              <w:start w:w="100" w:type="dxa"/>
              <w:end w:w="100" w:type="dxa"/>
            </w:tcMar>
          </w:tcPr>
          <w:p>
            <w:pPr>
              <w:jc w:val="center"/>
              <w:bidi/>
            </w:pPr>
            <w:r/>
            <w:r>
              <w:rPr>
                <w:rFonts w:ascii="Arial" w:hAnsi="Arial" w:cs="Arial" w:eastAsia="Arial"/>
                <w:b w:val="0"/>
                <w:color w:val="173642"/>
                <w:sz w:val="17"/>
              </w:rPr>
              <w:t>قرار التشكيل، الميثاق، المدة، الاجتماعات، التقارير</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7"/>
              </w:rPr>
              <w:t>سجل المخاطر</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الحوكمة والامتثال</w:t>
            </w:r>
          </w:p>
        </w:tc>
        <w:tc>
          <w:tcPr>
            <w:tcW w:type="dxa" w:w="3969"/>
            <w:vAlign w:val="center"/>
            <w:tcMar>
              <w:top w:w="80" w:type="dxa"/>
              <w:bottom w:w="80" w:type="dxa"/>
              <w:start w:w="100" w:type="dxa"/>
              <w:end w:w="100" w:type="dxa"/>
            </w:tcMar>
          </w:tcPr>
          <w:p>
            <w:pPr>
              <w:jc w:val="center"/>
              <w:bidi/>
            </w:pPr>
            <w:r/>
            <w:r>
              <w:rPr>
                <w:rFonts w:ascii="Arial" w:hAnsi="Arial" w:cs="Arial" w:eastAsia="Arial"/>
                <w:b w:val="0"/>
                <w:color w:val="173642"/>
                <w:sz w:val="17"/>
              </w:rPr>
              <w:t>الخطر، الاحتمال، الأثر، المالك، المعالجة، الحالة</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7"/>
              </w:rPr>
              <w:t>سجل تعارض المصالح</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الحوكمة والامتثال</w:t>
            </w:r>
          </w:p>
        </w:tc>
        <w:tc>
          <w:tcPr>
            <w:tcW w:type="dxa" w:w="3969"/>
            <w:vAlign w:val="center"/>
            <w:tcMar>
              <w:top w:w="80" w:type="dxa"/>
              <w:bottom w:w="80" w:type="dxa"/>
              <w:start w:w="100" w:type="dxa"/>
              <w:end w:w="100" w:type="dxa"/>
            </w:tcMar>
          </w:tcPr>
          <w:p>
            <w:pPr>
              <w:jc w:val="center"/>
              <w:bidi/>
            </w:pPr>
            <w:r/>
            <w:r>
              <w:rPr>
                <w:rFonts w:ascii="Arial" w:hAnsi="Arial" w:cs="Arial" w:eastAsia="Arial"/>
                <w:b w:val="0"/>
                <w:color w:val="173642"/>
                <w:sz w:val="17"/>
              </w:rPr>
              <w:t>الإفصاح، طبيعة التعارض، المعالجة، قرار الجهة المختصة</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7"/>
              </w:rPr>
              <w:t>سجل السياسات</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الحوكمة والامتثال</w:t>
            </w:r>
          </w:p>
        </w:tc>
        <w:tc>
          <w:tcPr>
            <w:tcW w:type="dxa" w:w="3969"/>
            <w:vAlign w:val="center"/>
            <w:tcMar>
              <w:top w:w="80" w:type="dxa"/>
              <w:bottom w:w="80" w:type="dxa"/>
              <w:start w:w="100" w:type="dxa"/>
              <w:end w:w="100" w:type="dxa"/>
            </w:tcMar>
          </w:tcPr>
          <w:p>
            <w:pPr>
              <w:jc w:val="center"/>
              <w:bidi/>
            </w:pPr>
            <w:r/>
            <w:r>
              <w:rPr>
                <w:rFonts w:ascii="Arial" w:hAnsi="Arial" w:cs="Arial" w:eastAsia="Arial"/>
                <w:b w:val="0"/>
                <w:color w:val="173642"/>
                <w:sz w:val="17"/>
              </w:rPr>
              <w:t>المالك، الإصدار، الاعتماد، النفاذ، المراجعة</w:t>
            </w:r>
          </w:p>
        </w:tc>
      </w:tr>
      <w:tr>
        <w:tc>
          <w:tcPr>
            <w:tcW w:type="dxa" w:w="2268"/>
            <w:vAlign w:val="center"/>
            <w:tcMar>
              <w:top w:w="80" w:type="dxa"/>
              <w:bottom w:w="80" w:type="dxa"/>
              <w:start w:w="100" w:type="dxa"/>
              <w:end w:w="100" w:type="dxa"/>
            </w:tcMar>
          </w:tcPr>
          <w:p>
            <w:pPr>
              <w:jc w:val="right"/>
              <w:bidi/>
            </w:pPr>
            <w:r/>
            <w:r>
              <w:rPr>
                <w:rFonts w:ascii="Arial" w:hAnsi="Arial" w:cs="Arial" w:eastAsia="Arial"/>
                <w:b w:val="0"/>
                <w:color w:val="173642"/>
                <w:sz w:val="17"/>
              </w:rPr>
              <w:t>سجل التفويضات</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أمانة المجلس/الحوكمة</w:t>
            </w:r>
          </w:p>
        </w:tc>
        <w:tc>
          <w:tcPr>
            <w:tcW w:type="dxa" w:w="3969"/>
            <w:vAlign w:val="center"/>
            <w:tcMar>
              <w:top w:w="80" w:type="dxa"/>
              <w:bottom w:w="80" w:type="dxa"/>
              <w:start w:w="100" w:type="dxa"/>
              <w:end w:w="100" w:type="dxa"/>
            </w:tcMar>
          </w:tcPr>
          <w:p>
            <w:pPr>
              <w:jc w:val="center"/>
              <w:bidi/>
            </w:pPr>
            <w:r/>
            <w:r>
              <w:rPr>
                <w:rFonts w:ascii="Arial" w:hAnsi="Arial" w:cs="Arial" w:eastAsia="Arial"/>
                <w:b w:val="0"/>
                <w:color w:val="173642"/>
                <w:sz w:val="17"/>
              </w:rPr>
              <w:t>المفوِّض، المفوَّض إليه، النطاق، المدة، المتابعة</w:t>
            </w:r>
          </w:p>
        </w:tc>
      </w:tr>
    </w:tbl>
    <w:p>
      <w:pPr>
        <w:pStyle w:val="Heading1"/>
        <w:jc w:val="right"/>
        <w:bidi/>
      </w:pPr>
      <w:r>
        <w:rPr>
          <w:rFonts w:ascii="Arial" w:hAnsi="Arial" w:cs="Arial" w:eastAsia="Arial"/>
          <w:b/>
          <w:color w:val="124D67"/>
          <w:sz w:val="34"/>
        </w:rPr>
        <w:t>13. المراجعة والتقييم</w:t>
      </w:r>
    </w:p>
    <w:p>
      <w:pPr>
        <w:jc w:val="both"/>
        <w:bidi/>
      </w:pPr>
      <w:r>
        <w:rPr>
          <w:rFonts w:ascii="Arial" w:hAnsi="Arial" w:cs="Arial" w:eastAsia="Arial"/>
          <w:b w:val="0"/>
          <w:color w:val="173642"/>
          <w:sz w:val="22"/>
        </w:rPr>
        <w:t>تجري الجمعية تقييمًا سنويًا لأداء مجلس الإدارة واللجان والإدارة التنفيذية، وتقيّم فاعلية الرقابة الداخلية وإدارة المخاطر. ترفع نتائج التقييم وخطط التحسين إلى مجلس الإدارة، ويحدث هذا الدليل كل ثلاث سنوات على الأقل أو عند تغير الأنظمة أو الهيكل، أيهما أسبق.</w:t>
      </w:r>
    </w:p>
    <w:p>
      <w:pPr>
        <w:pStyle w:val="Heading1"/>
        <w:jc w:val="right"/>
        <w:bidi/>
      </w:pPr>
      <w:r>
        <w:rPr>
          <w:rFonts w:ascii="Arial" w:hAnsi="Arial" w:cs="Arial" w:eastAsia="Arial"/>
          <w:b/>
          <w:color w:val="124D67"/>
          <w:sz w:val="34"/>
        </w:rPr>
        <w:t>المرجعيات</w:t>
      </w:r>
    </w:p>
    <w:p>
      <w:pPr>
        <w:pStyle w:val="ListBullet"/>
        <w:ind w:left="227" w:right="227"/>
        <w:jc w:val="right"/>
        <w:bidi/>
      </w:pPr>
      <w:r>
        <w:rPr>
          <w:rFonts w:ascii="Arial" w:hAnsi="Arial" w:cs="Arial" w:eastAsia="Arial"/>
          <w:b w:val="0"/>
          <w:color w:val="173642"/>
          <w:sz w:val="21"/>
        </w:rPr>
        <w:t>نظام الجمعيات والمؤسسات الأهلية الصادر بالمرسوم الملكي رقم (م/8) وتاريخ 19/2/1437هـ.</w:t>
      </w:r>
    </w:p>
    <w:p>
      <w:pPr>
        <w:pStyle w:val="ListBullet"/>
        <w:ind w:left="227" w:right="227"/>
        <w:jc w:val="right"/>
        <w:bidi/>
      </w:pPr>
      <w:r>
        <w:rPr>
          <w:rFonts w:ascii="Arial" w:hAnsi="Arial" w:cs="Arial" w:eastAsia="Arial"/>
          <w:b w:val="0"/>
          <w:color w:val="173642"/>
          <w:sz w:val="21"/>
        </w:rPr>
        <w:t>اللائحة التنفيذية لنظام الجمعيات والمؤسسات الأهلية المنشورة في جريدة أم القرى بتاريخ 6 فبراير 2026م.</w:t>
      </w:r>
    </w:p>
    <w:p>
      <w:pPr>
        <w:pStyle w:val="ListBullet"/>
        <w:ind w:left="227" w:right="227"/>
        <w:jc w:val="right"/>
        <w:bidi/>
      </w:pPr>
      <w:r>
        <w:rPr>
          <w:rFonts w:ascii="Arial" w:hAnsi="Arial" w:cs="Arial" w:eastAsia="Arial"/>
          <w:b w:val="0"/>
          <w:color w:val="173642"/>
          <w:sz w:val="21"/>
        </w:rPr>
        <w:t>قواعد حوكمة الجمعيات والمؤسسات الأهلية المعدلة والنافذة في 2026م.</w:t>
      </w:r>
    </w:p>
    <w:p>
      <w:pPr>
        <w:pStyle w:val="ListBullet"/>
        <w:ind w:left="227" w:right="227"/>
        <w:jc w:val="right"/>
        <w:bidi/>
      </w:pPr>
      <w:r>
        <w:rPr>
          <w:rFonts w:ascii="Arial" w:hAnsi="Arial" w:cs="Arial" w:eastAsia="Arial"/>
          <w:b w:val="0"/>
          <w:color w:val="173642"/>
          <w:sz w:val="21"/>
        </w:rPr>
        <w:t>اللائحة الأساسية المعتمدة للجمعية، والهيكل التنظيمي والدليل التنظيمي والسياسات الداخلية المعتمدة.</w:t>
      </w:r>
    </w:p>
    <w:p>
      <w:pPr>
        <w:pStyle w:val="ListBullet"/>
        <w:ind w:left="227" w:right="227"/>
        <w:jc w:val="right"/>
        <w:bidi/>
      </w:pPr>
      <w:r>
        <w:rPr>
          <w:rFonts w:ascii="Arial" w:hAnsi="Arial" w:cs="Arial" w:eastAsia="Arial"/>
          <w:b w:val="0"/>
          <w:color w:val="173642"/>
          <w:sz w:val="21"/>
        </w:rPr>
        <w:t>https://www.uqn.gov.sa/decisions-and-regulations/4000284</w:t>
      </w:r>
    </w:p>
    <w:p>
      <w:pPr>
        <w:pStyle w:val="ListBullet"/>
        <w:ind w:left="227" w:right="227"/>
        <w:jc w:val="right"/>
        <w:bidi/>
      </w:pPr>
      <w:r>
        <w:rPr>
          <w:rFonts w:ascii="Arial" w:hAnsi="Arial" w:cs="Arial" w:eastAsia="Arial"/>
          <w:b w:val="0"/>
          <w:color w:val="173642"/>
          <w:sz w:val="21"/>
        </w:rPr>
        <w:t>https://ncnp.gov.sa/ar/regulations</w:t>
      </w:r>
    </w:p>
    <w:sectPr w:rsidR="00FC693F" w:rsidRPr="0006063C" w:rsidSect="00034616">
      <w:headerReference w:type="default" r:id="rId9"/>
      <w:footerReference w:type="default" r:id="rId10"/>
      <w:pgSz w:w="11906" w:h="16838"/>
      <w:pgMar w:top="1191" w:right="1134" w:bottom="1020" w:left="1134" w:header="227" w:footer="22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bidi/>
    </w:pPr>
    <w:r>
      <w:rPr>
        <w:rFonts w:ascii="Arial" w:hAnsi="Arial" w:cs="Arial" w:eastAsia="Arial"/>
        <w:b w:val="0"/>
        <w:color w:val="124D67"/>
        <w:sz w:val="18"/>
      </w:rPr>
      <w:t xml:space="preserve">جمعية البلسم للتدريب والتطوير الصحي  |  دليل الحوكمة المؤسسية  |  الإصدار الأول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2520000" cy="569952"/>
          <wp:docPr id="1" name="Picture 1" descr="شعار جمعية البلسم للتدريب والتطوير الصحي" title="شعار جمعية البلسم"/>
          <wp:cNvGraphicFramePr>
            <a:graphicFrameLocks noChangeAspect="1"/>
          </wp:cNvGraphicFramePr>
          <a:graphic>
            <a:graphicData uri="http://schemas.openxmlformats.org/drawingml/2006/picture">
              <pic:pic>
                <pic:nvPicPr>
                  <pic:cNvPr id="0" name="image1.png"/>
                  <pic:cNvPicPr/>
                </pic:nvPicPr>
                <pic:blipFill>
                  <a:blip r:embed="rId1"/>
                  <a:stretch>
                    <a:fillRect/>
                  </a:stretch>
                </pic:blipFill>
                <pic:spPr>
                  <a:xfrm>
                    <a:off x="0" y="0"/>
                    <a:ext cx="2520000" cy="569952"/>
                  </a:xfrm>
                  <a:prstGeom prst="rect"/>
                </pic:spPr>
              </pic:pic>
            </a:graphicData>
          </a:graphic>
        </wp:inline>
      </w:drawing>
    </w:r>
  </w:p>
  <w:tbl>
    <w:tblPr>
      <w:tblW w:type="auto" w:w="0"/>
      <w:jc w:val="center"/>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7739"/>
      <w:gridCol w:w="7739"/>
    </w:tblGrid>
    <w:tr>
      <w:tc>
        <w:tcPr>
          <w:tcW w:type="dxa" w:w="2600"/>
          <w:shd w:fill="16A889"/>
          <w:tcMar>
            <w:top w:w="95" w:type="dxa"/>
            <w:bottom w:w="95" w:type="dxa"/>
            <w:start w:w="90" w:type="dxa"/>
            <w:end w:w="90" w:type="dxa"/>
          </w:tcMar>
          <w:vAlign w:val="center"/>
        </w:tcPr>
        <w:p>
          <w:pPr>
            <w:spacing w:before="0" w:after="0" w:line="240" w:lineRule="auto"/>
            <w:jc w:val="center"/>
            <w:bidi/>
          </w:pPr>
          <w:r/>
          <w:r>
            <w:rPr>
              <w:rFonts w:ascii="Arial" w:hAnsi="Arial" w:cs="Arial"/>
              <w:b/>
              <w:color w:val="19333D"/>
              <w:sz w:val="20"/>
            </w:rPr>
          </w:r>
        </w:p>
      </w:tc>
      <w:tc>
        <w:tcPr>
          <w:tcW w:type="dxa" w:w="12800"/>
          <w:shd w:fill="0D4E68"/>
          <w:tcMar>
            <w:top w:w="95" w:type="dxa"/>
            <w:bottom w:w="95" w:type="dxa"/>
            <w:start w:w="90" w:type="dxa"/>
            <w:end w:w="90" w:type="dxa"/>
          </w:tcMar>
          <w:vAlign w:val="center"/>
        </w:tcPr>
        <w:p>
          <w:pPr>
            <w:spacing w:before="0" w:after="0" w:line="240" w:lineRule="auto"/>
            <w:jc w:val="center"/>
            <w:bidi/>
          </w:pPr>
          <w:r/>
          <w:r>
            <w:rPr>
              <w:rFonts w:ascii="Arial" w:hAnsi="Arial" w:cs="Arial"/>
              <w:b/>
              <w:color w:val="19333D"/>
              <w:sz w:val="20"/>
            </w:rPr>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rial" w:hAnsi="Arial" w:cs="Arial"/>
      <w:b/>
      <w:bCs/>
      <w:color w:val="124D67"/>
      <w:sz w:val="34"/>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rial" w:hAnsi="Arial" w:cs="Arial"/>
      <w:b/>
      <w:bCs/>
      <w:color w:val="124D67"/>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173642"/>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40" w:line="240" w:lineRule="auto" w:before="0"/>
      <w:contextualSpacing/>
    </w:pPr>
    <w:rPr>
      <w:rFonts w:asciiTheme="majorHAnsi" w:eastAsiaTheme="majorEastAsia" w:hAnsiTheme="majorHAnsi" w:cstheme="majorBidi" w:ascii="Arial" w:hAnsi="Arial" w:cs="Arial"/>
      <w:b/>
      <w:color w:val="124D67"/>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دليل الحوكمة المؤسسية</dc:title>
  <dc:subject>إطار الحوكمة والرقابة والمساءلة</dc:subject>
  <dc:creator>جمعية البلسم للتدريب والتطوير الصحي</dc:creator>
  <cp:keywords/>
  <dc:description>generated by python-docx</dc:description>
  <cp:lastModifiedBy/>
  <cp:revision>1</cp:revision>
  <dcterms:created xsi:type="dcterms:W3CDTF">2013-12-23T23:15:00Z</dcterms:created>
  <dcterms:modified xsi:type="dcterms:W3CDTF">2013-12-23T23:15:00Z</dcterms:modified>
  <cp:category/>
</cp:coreProperties>
</file>