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8"/>
        </w:rPr>
        <w:t>السياسة المالية</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موارد منضبطة وقرارات موثقة ورقابة مستقلة</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س م - 01</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التنفيذ</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الإدارة التنفيذية وإدارة الخدمات المساندة والوحدة المالية والوحدات ذات العلاقة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الرقابة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 والمراجع الداخلي والمراجع الخارجي كلٌ وفق اختصاصه</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النطاق</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جميع الموارد والإيرادات والمصروفات والأصول والالتزامات والعمليات المالية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الوثيقة المكملة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مصفوفة الصلاحيات المالية المعتمدة والميزانية والسياسات المالية الفرعية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سنويًا أو عند تغير الأنظمة أو الهيكل أو الصلاحيات أو المعايير المحاسبية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نسخة عامة منقحة قابلة للنشر؛ تفاصيل الحسابات والصلاحيات والسقوف والضوابط التقنية داخلية</w:t>
            </w:r>
          </w:p>
        </w:tc>
      </w:tr>
    </w:tbl>
    <w:p>
      <w:pPr>
        <w:pStyle w:val="Heading1"/>
        <w:jc w:val="right"/>
        <w:keepNext/>
        <w:bidi w:val="1"/>
      </w:pPr>
      <w:r>
        <w:rPr>
          <w:rFonts w:ascii="Arial" w:hAnsi="Arial" w:cs="Arial"/>
        </w:rPr>
        <w:t>الباب الأول: الأحكام التمهيدية</w:t>
      </w:r>
    </w:p>
    <w:p>
      <w:pPr>
        <w:pStyle w:val="Heading2"/>
        <w:jc w:val="right"/>
        <w:keepNext/>
        <w:bidi w:val="1"/>
      </w:pPr>
      <w:r>
        <w:rPr>
          <w:rFonts w:ascii="Arial" w:hAnsi="Arial" w:cs="Arial"/>
        </w:rPr>
        <w:t>1. الغرض</w:t>
      </w:r>
    </w:p>
    <w:p>
      <w:pPr>
        <w:spacing w:after="80"/>
        <w:jc w:val="right"/>
        <w:bidi w:val="1"/>
      </w:pPr>
      <w:r>
        <w:rPr>
          <w:rFonts w:ascii="Arial" w:hAnsi="Arial" w:cs="Arial"/>
          <w:b w:val="0"/>
        </w:rPr>
        <w:t>تضع هذه السياسة إطارًا موحدًا لإدارة أموال الجمعية ومواردها والتزاماتها، وإعداد الموازنة والتسجيل والتقرير والرقابة، بما يضمن الاستخدام المشروع والاقتصادي والشفاف للموارد، والفصل بين الصلاحيات، وقابلية العمليات للمراجعة، والامتثال للأنظمة واللوائح والمعايير المحاسبية النافذة.</w:t>
      </w:r>
    </w:p>
    <w:p>
      <w:pPr>
        <w:pStyle w:val="Heading2"/>
        <w:jc w:val="right"/>
        <w:keepNext/>
        <w:bidi w:val="1"/>
      </w:pPr>
      <w:r>
        <w:rPr>
          <w:rFonts w:ascii="Arial" w:hAnsi="Arial" w:cs="Arial"/>
        </w:rPr>
        <w:t>2. الأهداف</w:t>
      </w:r>
    </w:p>
    <w:p>
      <w:pPr>
        <w:pStyle w:val="ListBullet"/>
        <w:spacing w:after="40"/>
        <w:ind w:left="288" w:right="360"/>
        <w:jc w:val="right"/>
        <w:bidi w:val="1"/>
      </w:pPr>
      <w:r>
        <w:rPr>
          <w:rFonts w:ascii="Arial" w:hAnsi="Arial" w:cs="Arial"/>
          <w:sz w:val="20"/>
        </w:rPr>
        <w:t>حماية أموال الجمعية وأصولها من الخطأ أو الهدر أو الاحتيال أو الاستخدام غير المصرح.</w:t>
      </w:r>
    </w:p>
    <w:p>
      <w:pPr>
        <w:pStyle w:val="ListBullet"/>
        <w:spacing w:after="40"/>
        <w:ind w:left="288" w:right="360"/>
        <w:jc w:val="right"/>
        <w:bidi w:val="1"/>
      </w:pPr>
      <w:r>
        <w:rPr>
          <w:rFonts w:ascii="Arial" w:hAnsi="Arial" w:cs="Arial"/>
          <w:sz w:val="20"/>
        </w:rPr>
        <w:t>تحديد المسؤوليات ومسار الطلب والمراجعة والاعتماد والتنفيذ والتسجيل والرقابة.</w:t>
      </w:r>
    </w:p>
    <w:p>
      <w:pPr>
        <w:pStyle w:val="ListBullet"/>
        <w:spacing w:after="40"/>
        <w:ind w:left="288" w:right="360"/>
        <w:jc w:val="right"/>
        <w:bidi w:val="1"/>
      </w:pPr>
      <w:r>
        <w:rPr>
          <w:rFonts w:ascii="Arial" w:hAnsi="Arial" w:cs="Arial"/>
          <w:sz w:val="20"/>
        </w:rPr>
        <w:t>ربط الإنفاق بالموازنة والخطط والبرامج ومراكز التكلفة والقيود المانحة.</w:t>
      </w:r>
    </w:p>
    <w:p>
      <w:pPr>
        <w:pStyle w:val="ListBullet"/>
        <w:spacing w:after="40"/>
        <w:ind w:left="288" w:right="360"/>
        <w:jc w:val="right"/>
        <w:bidi w:val="1"/>
      </w:pPr>
      <w:r>
        <w:rPr>
          <w:rFonts w:ascii="Arial" w:hAnsi="Arial" w:cs="Arial"/>
          <w:sz w:val="20"/>
        </w:rPr>
        <w:t>تقديم معلومات مالية صحيحة وفي وقتها لمجلس الإدارة والجمعية العمومية والجهات الرقابية.</w:t>
      </w:r>
    </w:p>
    <w:p>
      <w:pPr>
        <w:pStyle w:val="ListBullet"/>
        <w:spacing w:after="40"/>
        <w:ind w:left="288" w:right="360"/>
        <w:jc w:val="right"/>
        <w:bidi w:val="1"/>
      </w:pPr>
      <w:r>
        <w:rPr>
          <w:rFonts w:ascii="Arial" w:hAnsi="Arial" w:cs="Arial"/>
          <w:sz w:val="20"/>
        </w:rPr>
        <w:t>دعم الاستدامة والسيولة والقدرة على الوفاء بالالتزامات.</w:t>
      </w:r>
    </w:p>
    <w:p>
      <w:pPr>
        <w:pStyle w:val="ListBullet"/>
        <w:spacing w:after="40"/>
        <w:ind w:left="288" w:right="360"/>
        <w:jc w:val="right"/>
        <w:bidi w:val="1"/>
      </w:pPr>
      <w:r>
        <w:rPr>
          <w:rFonts w:ascii="Arial" w:hAnsi="Arial" w:cs="Arial"/>
          <w:sz w:val="20"/>
        </w:rPr>
        <w:t>ضمان حفظ السجلات والأدلة وإدارة المخاطر والاستجابة للملاحظات.</w:t>
      </w:r>
    </w:p>
    <w:p>
      <w:pPr>
        <w:pStyle w:val="Heading2"/>
        <w:jc w:val="right"/>
        <w:keepNext/>
        <w:bidi w:val="1"/>
      </w:pPr>
      <w:r>
        <w:rPr>
          <w:rFonts w:ascii="Arial" w:hAnsi="Arial" w:cs="Arial"/>
        </w:rPr>
        <w:t>3. نطاق التطبيق</w:t>
      </w:r>
    </w:p>
    <w:p>
      <w:pPr>
        <w:spacing w:after="80"/>
        <w:jc w:val="right"/>
        <w:bidi w:val="1"/>
      </w:pPr>
      <w:r>
        <w:rPr>
          <w:rFonts w:ascii="Arial" w:hAnsi="Arial" w:cs="Arial"/>
          <w:b w:val="0"/>
        </w:rPr>
        <w:t>تطبق السياسة على مجلس الإدارة والإدارة التنفيذية وإدارة الخدمات المساندة والوحدة المالية والموارد البشرية والمشتريات والدعم الإداري والبرامج والفروع - إن وجدت - وكل عامل أو متطوع أو متعاقد يتولى طلبًا أو عهدة أو تحصيلًا أو اعتمادًا أو تسجيلًا أو حفظًا أو رقابة مالية.</w:t>
      </w:r>
    </w:p>
    <w:p>
      <w:pPr>
        <w:pStyle w:val="Heading2"/>
        <w:jc w:val="right"/>
        <w:keepNext/>
        <w:bidi w:val="1"/>
      </w:pPr>
      <w:r>
        <w:rPr>
          <w:rFonts w:ascii="Arial" w:hAnsi="Arial" w:cs="Arial"/>
        </w:rPr>
        <w:t>4. المرجعية وترتيب التطبيق</w:t>
      </w:r>
    </w:p>
    <w:p>
      <w:pPr>
        <w:spacing w:after="80"/>
        <w:jc w:val="right"/>
        <w:bidi w:val="1"/>
      </w:pPr>
      <w:r>
        <w:rPr>
          <w:rFonts w:ascii="Arial" w:hAnsi="Arial" w:cs="Arial"/>
          <w:b w:val="0"/>
        </w:rPr>
        <w:t>تفسر السياسة وتطبق مع اللائحة الأساسية والأنظمة واللوائح والتعليمات النافذة، والمعايير المحاسبية المعتمدة للمنشآت غير الهادفة للربح، والدليل المحاسبي الموحد للجمعيات الأهلية، ومصفوفة الصلاحيات. وعند التعارض يطبق النص النظامي الأعلى، ويرفع التعارض لتحديث الوثيقة دون تعطيل الامتثال.</w:t>
      </w:r>
    </w:p>
    <w:p>
      <w:pPr>
        <w:pStyle w:val="Heading2"/>
        <w:jc w:val="right"/>
        <w:keepNext/>
        <w:bidi w:val="1"/>
      </w:pPr>
      <w:r>
        <w:rPr>
          <w:rFonts w:ascii="Arial" w:hAnsi="Arial" w:cs="Arial"/>
        </w:rPr>
        <w:t>5. المصطلحات</w:t>
      </w:r>
    </w:p>
    <w:tbl>
      <w:tblPr>
        <w:tblStyle w:val="TableGrid"/>
        <w:tblW w:type="dxa" w:w="8500"/>
        <w:jc w:val="center"/>
        <w:tblLayout w:type="fixed"/>
        <w:tblLook w:firstColumn="1" w:firstRow="1" w:lastColumn="0" w:lastRow="0" w:noHBand="0" w:noVBand="1" w:val="04A0"/>
        <w:tblInd w:w="0" w:type="dxa"/>
        <w:bidiVisual/>
      </w:tblPr>
      <w:tblGrid>
        <w:gridCol w:w="2200"/>
        <w:gridCol w:w="6300"/>
      </w:tblGrid>
      <w:tr>
        <w:trPr>
          <w:tblHeader w:val="true"/>
          <w:cantSplit/>
        </w:trPr>
        <w:tc>
          <w:tcPr>
            <w:tcW w:type="dxa" w:w="22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المصطلح</w:t>
            </w:r>
          </w:p>
        </w:tc>
        <w:tc>
          <w:tcPr>
            <w:tcW w:type="dxa" w:w="6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التعريف</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الوحدة المالية</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الوحدة التابعة لإدارة الخدمات المساندة والمسؤولة عن التسجيل والتقارير والعمليات المالية وفق الهيكل.</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مصفوفة الصلاحيات</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الوثيقة المعتمدة التي تحدد أدوار A الاعتماد النهائي، R التوصية، V المراجعة، E التنفيذ، والسقوف والقيود.</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الموازنة التقديرية</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خطة مالية سنوية معتمدة للإيرادات والمصروفات والتدفقات والبرامج ومراكز التكلفة.</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الارتباط المالي</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حجز أو التزام تعاقدي يترتب عليه مصروف حالي أو مستقبلي.</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السلفة/العهدة</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مبلغ يصرف مقدمًا لغرض محدد ويسوى بمستندات أو يرد رصيده ضمن المدة.</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المستند المؤيد</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دليل أصلي أو إلكتروني موثوق يثبت الواقعة وصحتها واعتمادها وعدم تكرارها.</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الأموال المقيدة</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موارد خصصها المانح أو النظام لغرض أو برنامج محدد ولا يجوز استخدامها في غيره.</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المراجعة الداخلية</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نشاط تأكيد مستقل نسبيًا عن التنفيذ يقيم الضوابط والمخاطر والالتزام ويرفع تقاريره لصاحب الصلاحية.</w:t>
            </w:r>
          </w:p>
        </w:tc>
      </w:tr>
    </w:tbl>
    <w:p>
      <w:pPr>
        <w:pStyle w:val="Heading1"/>
        <w:jc w:val="right"/>
        <w:keepNext/>
        <w:bidi w:val="1"/>
      </w:pPr>
      <w:r>
        <w:rPr>
          <w:rFonts w:ascii="Arial" w:hAnsi="Arial" w:cs="Arial"/>
        </w:rPr>
        <w:t>الباب الثاني: المبادئ والحوكمة المالية</w:t>
      </w:r>
    </w:p>
    <w:p>
      <w:pPr>
        <w:pStyle w:val="Heading2"/>
        <w:jc w:val="right"/>
        <w:keepNext/>
        <w:bidi w:val="1"/>
      </w:pPr>
      <w:r>
        <w:rPr>
          <w:rFonts w:ascii="Arial" w:hAnsi="Arial" w:cs="Arial"/>
        </w:rPr>
        <w:t>6. المبادئ الحاكمة</w:t>
      </w:r>
    </w:p>
    <w:p>
      <w:pPr>
        <w:spacing w:after="60"/>
        <w:ind w:right="288" w:hanging="288"/>
        <w:jc w:val="right"/>
        <w:bidi w:val="1"/>
      </w:pPr>
      <w:r>
        <w:rPr>
          <w:rFonts w:ascii="Arial" w:hAnsi="Arial" w:cs="Arial"/>
          <w:sz w:val="20"/>
        </w:rPr>
        <w:t>1. المشروعية: لا إيراد أو التزام أو صرف أو استثمار إلا لغرض مشروع داخل أهداف الجمعية.</w:t>
      </w:r>
    </w:p>
    <w:p>
      <w:pPr>
        <w:spacing w:after="60"/>
        <w:ind w:right="288" w:hanging="288"/>
        <w:jc w:val="right"/>
        <w:bidi w:val="1"/>
      </w:pPr>
      <w:r>
        <w:rPr>
          <w:rFonts w:ascii="Arial" w:hAnsi="Arial" w:cs="Arial"/>
          <w:sz w:val="20"/>
        </w:rPr>
        <w:t>2. الموازنة: لا يصرف خارج اعتماد متاح إلا بإجراء مناقلة أو اعتماد إضافي وفق الصلاحيات.</w:t>
      </w:r>
    </w:p>
    <w:p>
      <w:pPr>
        <w:spacing w:after="60"/>
        <w:ind w:right="288" w:hanging="288"/>
        <w:jc w:val="right"/>
        <w:bidi w:val="1"/>
      </w:pPr>
      <w:r>
        <w:rPr>
          <w:rFonts w:ascii="Arial" w:hAnsi="Arial" w:cs="Arial"/>
          <w:sz w:val="20"/>
        </w:rPr>
        <w:t>3. الفصل: يفصل بين طلب العملية واعتمادها وتنفيذها وتسجيلها ومراجعتها قدر الإمكان.</w:t>
      </w:r>
    </w:p>
    <w:p>
      <w:pPr>
        <w:spacing w:after="60"/>
        <w:ind w:right="288" w:hanging="288"/>
        <w:jc w:val="right"/>
        <w:bidi w:val="1"/>
      </w:pPr>
      <w:r>
        <w:rPr>
          <w:rFonts w:ascii="Arial" w:hAnsi="Arial" w:cs="Arial"/>
          <w:sz w:val="20"/>
        </w:rPr>
        <w:t>4. التوثيق: لا تسجل أو تصرف عملية بلا دليل كافٍ ومسار اعتماد قابل للتتبع.</w:t>
      </w:r>
    </w:p>
    <w:p>
      <w:pPr>
        <w:spacing w:after="60"/>
        <w:ind w:right="288" w:hanging="288"/>
        <w:jc w:val="right"/>
        <w:bidi w:val="1"/>
      </w:pPr>
      <w:r>
        <w:rPr>
          <w:rFonts w:ascii="Arial" w:hAnsi="Arial" w:cs="Arial"/>
          <w:sz w:val="20"/>
        </w:rPr>
        <w:t>5. الاقتصاد والقيمة: تختار الوسيلة التي تحقق الغرض بالجودة والتكلفة والمخاطر المناسبة.</w:t>
      </w:r>
    </w:p>
    <w:p>
      <w:pPr>
        <w:spacing w:after="60"/>
        <w:ind w:right="288" w:hanging="288"/>
        <w:jc w:val="right"/>
        <w:bidi w:val="1"/>
      </w:pPr>
      <w:r>
        <w:rPr>
          <w:rFonts w:ascii="Arial" w:hAnsi="Arial" w:cs="Arial"/>
          <w:sz w:val="20"/>
        </w:rPr>
        <w:t>6. الشفافية: تعرض التقارير والانحرافات والالتزامات والمخاطر على أصحاب الصلاحية دون إخفاء جوهري.</w:t>
      </w:r>
    </w:p>
    <w:p>
      <w:pPr>
        <w:spacing w:after="60"/>
        <w:ind w:right="288" w:hanging="288"/>
        <w:jc w:val="right"/>
        <w:bidi w:val="1"/>
      </w:pPr>
      <w:r>
        <w:rPr>
          <w:rFonts w:ascii="Arial" w:hAnsi="Arial" w:cs="Arial"/>
          <w:sz w:val="20"/>
        </w:rPr>
        <w:t>7. الحذر: لا تستخدم تقديرات متفائلة أو تسويات لإخفاء عجز أو التزام أو مخالفة.</w:t>
      </w:r>
    </w:p>
    <w:p>
      <w:pPr>
        <w:spacing w:after="60"/>
        <w:ind w:right="288" w:hanging="288"/>
        <w:jc w:val="right"/>
        <w:bidi w:val="1"/>
      </w:pPr>
      <w:r>
        <w:rPr>
          <w:rFonts w:ascii="Arial" w:hAnsi="Arial" w:cs="Arial"/>
          <w:sz w:val="20"/>
        </w:rPr>
        <w:t>8. الاستقلال الرقابي: لا يراجع الشخص عملية نفذها أو سجلها إذا أمكن توزيع المهمة.</w:t>
      </w:r>
    </w:p>
    <w:p>
      <w:pPr>
        <w:pStyle w:val="Heading2"/>
        <w:jc w:val="right"/>
        <w:keepNext/>
        <w:bidi w:val="1"/>
      </w:pPr>
      <w:r>
        <w:rPr>
          <w:rFonts w:ascii="Arial" w:hAnsi="Arial" w:cs="Arial"/>
        </w:rPr>
        <w:t>7. مجلس الإدارة</w:t>
      </w:r>
    </w:p>
    <w:p>
      <w:pPr>
        <w:pStyle w:val="ListBullet"/>
        <w:spacing w:after="40"/>
        <w:ind w:left="288" w:right="360"/>
        <w:jc w:val="right"/>
        <w:bidi w:val="1"/>
      </w:pPr>
      <w:r>
        <w:rPr>
          <w:rFonts w:ascii="Arial" w:hAnsi="Arial" w:cs="Arial"/>
          <w:sz w:val="20"/>
        </w:rPr>
        <w:t>اعتماد السياسة ومصفوفة الصلاحيات والضوابط المالية ومتابعة تطبيقها.</w:t>
      </w:r>
    </w:p>
    <w:p>
      <w:pPr>
        <w:pStyle w:val="ListBullet"/>
        <w:spacing w:after="40"/>
        <w:ind w:left="288" w:right="360"/>
        <w:jc w:val="right"/>
        <w:bidi w:val="1"/>
      </w:pPr>
      <w:r>
        <w:rPr>
          <w:rFonts w:ascii="Arial" w:hAnsi="Arial" w:cs="Arial"/>
          <w:sz w:val="20"/>
        </w:rPr>
        <w:t>الإشراف على إعداد الموازنة ورفعها للجمعية العمومية لاعتمادها وفق اختصاصاتها.</w:t>
      </w:r>
    </w:p>
    <w:p>
      <w:pPr>
        <w:pStyle w:val="ListBullet"/>
        <w:spacing w:after="40"/>
        <w:ind w:left="288" w:right="360"/>
        <w:jc w:val="right"/>
        <w:bidi w:val="1"/>
      </w:pPr>
      <w:r>
        <w:rPr>
          <w:rFonts w:ascii="Arial" w:hAnsi="Arial" w:cs="Arial"/>
          <w:sz w:val="20"/>
        </w:rPr>
        <w:t>دراسة الحساب الختامي والتقارير المدققة ورفعها للجمعية العمومية لإقرارها.</w:t>
      </w:r>
    </w:p>
    <w:p>
      <w:pPr>
        <w:pStyle w:val="ListBullet"/>
        <w:spacing w:after="40"/>
        <w:ind w:left="288" w:right="360"/>
        <w:jc w:val="right"/>
        <w:bidi w:val="1"/>
      </w:pPr>
      <w:r>
        <w:rPr>
          <w:rFonts w:ascii="Arial" w:hAnsi="Arial" w:cs="Arial"/>
          <w:sz w:val="20"/>
        </w:rPr>
        <w:t>اعتماد فتح الحسابات البنكية وإغلاقها وتحديد المخولين وفق النظام واللائحة والموافقات المطلوبة.</w:t>
      </w:r>
    </w:p>
    <w:p>
      <w:pPr>
        <w:pStyle w:val="ListBullet"/>
        <w:spacing w:after="40"/>
        <w:ind w:left="288" w:right="360"/>
        <w:jc w:val="right"/>
        <w:bidi w:val="1"/>
      </w:pPr>
      <w:r>
        <w:rPr>
          <w:rFonts w:ascii="Arial" w:hAnsi="Arial" w:cs="Arial"/>
          <w:sz w:val="20"/>
        </w:rPr>
        <w:t>متابعة السيولة والاستدامة والمخاطر والالتزامات والملاحظات الرقابية وخطط معالجتها.</w:t>
      </w:r>
    </w:p>
    <w:p>
      <w:pPr>
        <w:pStyle w:val="ListBullet"/>
        <w:spacing w:after="40"/>
        <w:ind w:left="288" w:right="360"/>
        <w:jc w:val="right"/>
        <w:bidi w:val="1"/>
      </w:pPr>
      <w:r>
        <w:rPr>
          <w:rFonts w:ascii="Arial" w:hAnsi="Arial" w:cs="Arial"/>
          <w:sz w:val="20"/>
        </w:rPr>
        <w:t>التأكد من عدم التصرف إلا في نطاق اللائحة الأساسية، وطلب موافقة الجمعية العمومية أو المركز عندما يلزم.</w:t>
      </w:r>
    </w:p>
    <w:p>
      <w:pPr>
        <w:pStyle w:val="ListBullet"/>
        <w:spacing w:after="40"/>
        <w:ind w:left="288" w:right="360"/>
        <w:jc w:val="right"/>
        <w:bidi w:val="1"/>
      </w:pPr>
      <w:r>
        <w:rPr>
          <w:rFonts w:ascii="Arial" w:hAnsi="Arial" w:cs="Arial"/>
          <w:sz w:val="20"/>
        </w:rPr>
        <w:t>اعتماد التعيينات أو التكليفات المالية والرقابية التي تدخل في اختصاصه وتوفير الموارد اللازمة.</w:t>
      </w:r>
    </w:p>
    <w:p>
      <w:pPr>
        <w:pStyle w:val="Heading2"/>
        <w:jc w:val="right"/>
        <w:keepNext/>
        <w:bidi w:val="1"/>
      </w:pPr>
      <w:r>
        <w:rPr>
          <w:rFonts w:ascii="Arial" w:hAnsi="Arial" w:cs="Arial"/>
        </w:rPr>
        <w:t>8. الإدارة التنفيذية وإدارة الخدمات المساندة</w:t>
      </w:r>
    </w:p>
    <w:p>
      <w:pPr>
        <w:pStyle w:val="ListBullet"/>
        <w:spacing w:after="40"/>
        <w:ind w:left="288" w:right="360"/>
        <w:jc w:val="right"/>
        <w:bidi w:val="1"/>
      </w:pPr>
      <w:r>
        <w:rPr>
          <w:rFonts w:ascii="Arial" w:hAnsi="Arial" w:cs="Arial"/>
          <w:sz w:val="20"/>
        </w:rPr>
        <w:t>تنفيذ قرارات المجلس والموازنة والسياسة ومصفوفة الصلاحيات وإصدار الإجراءات التشغيلية.</w:t>
      </w:r>
    </w:p>
    <w:p>
      <w:pPr>
        <w:pStyle w:val="ListBullet"/>
        <w:spacing w:after="40"/>
        <w:ind w:left="288" w:right="360"/>
        <w:jc w:val="right"/>
        <w:bidi w:val="1"/>
      </w:pPr>
      <w:r>
        <w:rPr>
          <w:rFonts w:ascii="Arial" w:hAnsi="Arial" w:cs="Arial"/>
          <w:sz w:val="20"/>
        </w:rPr>
        <w:t>رفع مشروع الموازنة والتقارير والانحرافات والالتزامات والمخاطر في المواعيد.</w:t>
      </w:r>
    </w:p>
    <w:p>
      <w:pPr>
        <w:pStyle w:val="ListBullet"/>
        <w:spacing w:after="40"/>
        <w:ind w:left="288" w:right="360"/>
        <w:jc w:val="right"/>
        <w:bidi w:val="1"/>
      </w:pPr>
      <w:r>
        <w:rPr>
          <w:rFonts w:ascii="Arial" w:hAnsi="Arial" w:cs="Arial"/>
          <w:sz w:val="20"/>
        </w:rPr>
        <w:t>التحقق من حاجة المصروف وتوفر الاعتماد والتعاقد والمستندات قبل التوصية أو الاعتماد.</w:t>
      </w:r>
    </w:p>
    <w:p>
      <w:pPr>
        <w:pStyle w:val="ListBullet"/>
        <w:spacing w:after="40"/>
        <w:ind w:left="288" w:right="360"/>
        <w:jc w:val="right"/>
        <w:bidi w:val="1"/>
      </w:pPr>
      <w:r>
        <w:rPr>
          <w:rFonts w:ascii="Arial" w:hAnsi="Arial" w:cs="Arial"/>
          <w:sz w:val="20"/>
        </w:rPr>
        <w:t>حماية الأصول وضمان تعاون الوحدات وتطبيق الإجراءات التصحيحية.</w:t>
      </w:r>
    </w:p>
    <w:p>
      <w:pPr>
        <w:pStyle w:val="ListBullet"/>
        <w:spacing w:after="40"/>
        <w:ind w:left="288" w:right="360"/>
        <w:jc w:val="right"/>
        <w:bidi w:val="1"/>
      </w:pPr>
      <w:r>
        <w:rPr>
          <w:rFonts w:ascii="Arial" w:hAnsi="Arial" w:cs="Arial"/>
          <w:sz w:val="20"/>
        </w:rPr>
        <w:t>عدم توجيه الوحدة المالية إلى تسجيل أو صرف عملية مخالفة أو إخفاء أثر مالي.</w:t>
      </w:r>
    </w:p>
    <w:p>
      <w:pPr>
        <w:pStyle w:val="ListBullet"/>
        <w:spacing w:after="40"/>
        <w:ind w:left="288" w:right="360"/>
        <w:jc w:val="right"/>
        <w:bidi w:val="1"/>
      </w:pPr>
      <w:r>
        <w:rPr>
          <w:rFonts w:ascii="Arial" w:hAnsi="Arial" w:cs="Arial"/>
          <w:sz w:val="20"/>
        </w:rPr>
        <w:t>إدارة الخدمات المساندة تنسق أعمال المالية والموارد البشرية والمشتريات والدعم الإداري دون دمج مهام متعارضة.</w:t>
      </w:r>
    </w:p>
    <w:p>
      <w:pPr>
        <w:pStyle w:val="Heading2"/>
        <w:jc w:val="right"/>
        <w:keepNext/>
        <w:bidi w:val="1"/>
      </w:pPr>
      <w:r>
        <w:rPr>
          <w:rFonts w:ascii="Arial" w:hAnsi="Arial" w:cs="Arial"/>
        </w:rPr>
        <w:t>9. الوحدة المالية</w:t>
      </w:r>
    </w:p>
    <w:p>
      <w:pPr>
        <w:pStyle w:val="ListBullet"/>
        <w:spacing w:after="40"/>
        <w:ind w:left="288" w:right="360"/>
        <w:jc w:val="right"/>
        <w:bidi w:val="1"/>
      </w:pPr>
      <w:r>
        <w:rPr>
          <w:rFonts w:ascii="Arial" w:hAnsi="Arial" w:cs="Arial"/>
          <w:sz w:val="20"/>
        </w:rPr>
        <w:t>تطبيق الدليل المحاسبي الموحد والسياسات والمعايير وإمساك السجلات وإقفال الفترات.</w:t>
      </w:r>
    </w:p>
    <w:p>
      <w:pPr>
        <w:pStyle w:val="ListBullet"/>
        <w:spacing w:after="40"/>
        <w:ind w:left="288" w:right="360"/>
        <w:jc w:val="right"/>
        <w:bidi w:val="1"/>
      </w:pPr>
      <w:r>
        <w:rPr>
          <w:rFonts w:ascii="Arial" w:hAnsi="Arial" w:cs="Arial"/>
          <w:sz w:val="20"/>
        </w:rPr>
        <w:t>مراجعة اكتمال المستندات والاعتمادات والميزانية ومركز التكلفة والضرائب عند الانطباق.</w:t>
      </w:r>
    </w:p>
    <w:p>
      <w:pPr>
        <w:pStyle w:val="ListBullet"/>
        <w:spacing w:after="40"/>
        <w:ind w:left="288" w:right="360"/>
        <w:jc w:val="right"/>
        <w:bidi w:val="1"/>
      </w:pPr>
      <w:r>
        <w:rPr>
          <w:rFonts w:ascii="Arial" w:hAnsi="Arial" w:cs="Arial"/>
          <w:sz w:val="20"/>
        </w:rPr>
        <w:t>تنفيذ التحصيل والدفع والتسجيل والتسويات بحسب توزيع المهام والصلاحيات.</w:t>
      </w:r>
    </w:p>
    <w:p>
      <w:pPr>
        <w:pStyle w:val="ListBullet"/>
        <w:spacing w:after="40"/>
        <w:ind w:left="288" w:right="360"/>
        <w:jc w:val="right"/>
        <w:bidi w:val="1"/>
      </w:pPr>
      <w:r>
        <w:rPr>
          <w:rFonts w:ascii="Arial" w:hAnsi="Arial" w:cs="Arial"/>
          <w:sz w:val="20"/>
        </w:rPr>
        <w:t>إعداد التقارير الدورية والقوائم والتحليلات والتوقعات النقدية ورفع الاستثناءات.</w:t>
      </w:r>
    </w:p>
    <w:p>
      <w:pPr>
        <w:pStyle w:val="ListBullet"/>
        <w:spacing w:after="40"/>
        <w:ind w:left="288" w:right="360"/>
        <w:jc w:val="right"/>
        <w:bidi w:val="1"/>
      </w:pPr>
      <w:r>
        <w:rPr>
          <w:rFonts w:ascii="Arial" w:hAnsi="Arial" w:cs="Arial"/>
          <w:sz w:val="20"/>
        </w:rPr>
        <w:t>حفظ الأدلة المالية وإدارة الوصول للنظام والنسخ الاحتياطي بالتنسيق مع المختصين.</w:t>
      </w:r>
    </w:p>
    <w:p>
      <w:pPr>
        <w:pStyle w:val="ListBullet"/>
        <w:spacing w:after="40"/>
        <w:ind w:left="288" w:right="360"/>
        <w:jc w:val="right"/>
        <w:bidi w:val="1"/>
      </w:pPr>
      <w:r>
        <w:rPr>
          <w:rFonts w:ascii="Arial" w:hAnsi="Arial" w:cs="Arial"/>
          <w:sz w:val="20"/>
        </w:rPr>
        <w:t>إبلاغ الإدارة والمراجعة المختصة عن المخالفات أو الاشتباه أو محاولات تجاوز الضوابط.</w:t>
      </w:r>
    </w:p>
    <w:p>
      <w:pPr>
        <w:pStyle w:val="Heading2"/>
        <w:jc w:val="right"/>
        <w:keepNext/>
        <w:bidi w:val="1"/>
      </w:pPr>
      <w:r>
        <w:rPr>
          <w:rFonts w:ascii="Arial" w:hAnsi="Arial" w:cs="Arial"/>
        </w:rPr>
        <w:t>10. المراجعة الداخلية والخارجية</w:t>
      </w:r>
    </w:p>
    <w:p>
      <w:pPr>
        <w:spacing w:after="80"/>
        <w:jc w:val="right"/>
        <w:bidi w:val="1"/>
      </w:pPr>
      <w:r>
        <w:rPr>
          <w:rFonts w:ascii="Arial" w:hAnsi="Arial" w:cs="Arial"/>
          <w:b w:val="0"/>
        </w:rPr>
        <w:t>تكون المراجعة الداخلية مستقلة عن التنفيذ والتسجيل بالقدر الممكن، وتعمل وفق خطة مبنية على المخاطر، وترفع نتائجها وخطط المعالجة إلى مجلس الإدارة. وتتعاقد الجمعية مع مراجع حسابات خارجي مرخص له في المملكة، ويمنح الوصول اللازم دون تقييد، مع حماية السرية وعدم تكليفه بما يخل باستقلاله.</w:t>
      </w:r>
    </w:p>
    <w:p>
      <w:pPr>
        <w:pStyle w:val="Heading1"/>
        <w:jc w:val="right"/>
        <w:keepNext/>
        <w:bidi w:val="1"/>
      </w:pPr>
      <w:r>
        <w:rPr>
          <w:rFonts w:ascii="Arial" w:hAnsi="Arial" w:cs="Arial"/>
        </w:rPr>
        <w:t>الباب الثالث: الصلاحيات والفصل بين المهام</w:t>
      </w:r>
    </w:p>
    <w:p>
      <w:pPr>
        <w:pStyle w:val="Heading2"/>
        <w:jc w:val="right"/>
        <w:keepNext/>
        <w:bidi w:val="1"/>
      </w:pPr>
      <w:r>
        <w:rPr>
          <w:rFonts w:ascii="Arial" w:hAnsi="Arial" w:cs="Arial"/>
        </w:rPr>
        <w:t>11. مصفوفة الصلاحيات</w:t>
      </w:r>
    </w:p>
    <w:p>
      <w:pPr>
        <w:spacing w:after="80"/>
        <w:jc w:val="right"/>
        <w:bidi w:val="1"/>
      </w:pPr>
      <w:r>
        <w:rPr>
          <w:rFonts w:ascii="Arial" w:hAnsi="Arial" w:cs="Arial"/>
          <w:b w:val="0"/>
          <w:color w:val="A9322D"/>
        </w:rPr>
        <w:t>تعد مصفوفة الصلاحيات المالية جزءًا مكملًا وملزمًا لهذه السياسة. لا تنشئ هذه السياسة سقفًا ماليًا ضمنيًا، ولا يجوز استخدام صلاحية لم يحدد سقفها أو شرطها في المصفوفة النافذة. ويعود القرار عند غياب السقف إلى مجلس الإدارة حتى يعتمد أو يحدث المصفوفة.</w:t>
      </w:r>
    </w:p>
    <w:tbl>
      <w:tblPr>
        <w:tblStyle w:val="TableGrid"/>
        <w:tblW w:type="dxa" w:w="8500"/>
        <w:jc w:val="center"/>
        <w:tblLayout w:type="fixed"/>
        <w:tblLook w:firstColumn="1" w:firstRow="1" w:lastColumn="0" w:lastRow="0" w:noHBand="0" w:noVBand="1" w:val="04A0"/>
        <w:tblInd w:w="0" w:type="dxa"/>
        <w:bidiVisual/>
      </w:tblPr>
      <w:tblGrid>
        <w:gridCol w:w="1900"/>
        <w:gridCol w:w="1100"/>
        <w:gridCol w:w="1150"/>
        <w:gridCol w:w="1250"/>
        <w:gridCol w:w="1250"/>
        <w:gridCol w:w="1850"/>
      </w:tblGrid>
      <w:tr>
        <w:trPr>
          <w:tblHeader w:val="true"/>
          <w:cantSplit/>
        </w:trPr>
        <w:tc>
          <w:tcPr>
            <w:tcW w:type="dxa" w:w="1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العملية</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مجلس الإدارة</w:t>
            </w:r>
          </w:p>
        </w:tc>
        <w:tc>
          <w:tcPr>
            <w:tcW w:type="dxa" w:w="11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رئيس المجلس</w:t>
            </w:r>
          </w:p>
        </w:tc>
        <w:tc>
          <w:tcPr>
            <w:tcW w:type="dxa" w:w="12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المدير التنفيذي</w:t>
            </w:r>
          </w:p>
        </w:tc>
        <w:tc>
          <w:tcPr>
            <w:tcW w:type="dxa" w:w="12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الوحدة المالية</w:t>
            </w:r>
          </w:p>
        </w:tc>
        <w:tc>
          <w:tcPr>
            <w:tcW w:type="dxa" w:w="18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ملاحظة</w:t>
            </w:r>
          </w:p>
        </w:tc>
      </w:tr>
      <w:tr>
        <w:trPr>
          <w:cantSplit/>
        </w:trPr>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اعتماد الموازنة</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A</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R</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V</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E</w:t>
            </w:r>
          </w:p>
        </w:tc>
        <w:tc>
          <w:tcPr>
            <w:tcW w:type="dxa" w:w="1850"/>
            <w:tcMar>
              <w:top w:w="90" w:type="dxa"/>
              <w:start w:w="110" w:type="dxa"/>
              <w:bottom w:w="90" w:type="dxa"/>
              <w:end w:w="110" w:type="dxa"/>
            </w:tcMar>
            <w:vAlign w:val="center"/>
          </w:tcPr>
          <w:p>
            <w:pPr>
              <w:spacing w:before="40" w:after="40"/>
              <w:jc w:val="right"/>
              <w:bidi w:val="1"/>
            </w:pPr>
            <w:r>
              <w:rPr>
                <w:rFonts w:ascii="Arial" w:hAnsi="Arial" w:cs="Arial"/>
                <w:sz w:val="14"/>
              </w:rPr>
              <w:t>بعد إعداد الوحدات ووفق اختصاص الجمعية العمومية</w:t>
            </w:r>
          </w:p>
        </w:tc>
      </w:tr>
      <w:tr>
        <w:trPr>
          <w:cantSplit/>
        </w:trPr>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4"/>
              </w:rPr>
              <w:t>اعتماد الصرف داخل الموازنة</w:t>
            </w:r>
          </w:p>
        </w:tc>
        <w:tc>
          <w:tcPr>
            <w:tcW w:type="dxa" w:w="1100"/>
            <w:shd w:fill="F2F4F5"/>
            <w:tcMar>
              <w:top w:w="90" w:type="dxa"/>
              <w:start w:w="110" w:type="dxa"/>
              <w:bottom w:w="90" w:type="dxa"/>
              <w:end w:w="110" w:type="dxa"/>
            </w:tcMar>
            <w:vAlign w:val="center"/>
          </w:tcPr>
          <w:p>
            <w:pPr>
              <w:spacing w:before="40" w:after="40"/>
              <w:jc w:val="center"/>
              <w:bidi w:val="1"/>
            </w:pPr>
            <w:r>
              <w:rPr>
                <w:rFonts w:ascii="Arial" w:hAnsi="Arial" w:cs="Arial"/>
                <w:sz w:val="14"/>
              </w:rPr>
              <w:t>وفق السقف بالمصفوفة</w:t>
            </w:r>
          </w:p>
        </w:tc>
        <w:tc>
          <w:tcPr>
            <w:tcW w:type="dxa" w:w="1150"/>
            <w:shd w:fill="F2F4F5"/>
            <w:tcMar>
              <w:top w:w="90" w:type="dxa"/>
              <w:start w:w="110" w:type="dxa"/>
              <w:bottom w:w="90" w:type="dxa"/>
              <w:end w:w="110" w:type="dxa"/>
            </w:tcMar>
            <w:vAlign w:val="center"/>
          </w:tcPr>
          <w:p>
            <w:pPr>
              <w:spacing w:before="40" w:after="40"/>
              <w:jc w:val="center"/>
              <w:bidi w:val="1"/>
            </w:pPr>
            <w:r>
              <w:rPr>
                <w:rFonts w:ascii="Arial" w:hAnsi="Arial" w:cs="Arial"/>
                <w:sz w:val="14"/>
              </w:rPr>
              <w:t>وفق السقف بالمصفوفة</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A وفق السقف</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R / E حسب المرحلة</w:t>
            </w:r>
          </w:p>
        </w:tc>
        <w:tc>
          <w:tcPr>
            <w:tcW w:type="dxa" w:w="1850"/>
            <w:shd w:fill="F2F4F5"/>
            <w:tcMar>
              <w:top w:w="90" w:type="dxa"/>
              <w:start w:w="110" w:type="dxa"/>
              <w:bottom w:w="90" w:type="dxa"/>
              <w:end w:w="110" w:type="dxa"/>
            </w:tcMar>
            <w:vAlign w:val="center"/>
          </w:tcPr>
          <w:p>
            <w:pPr>
              <w:spacing w:before="40" w:after="40"/>
              <w:jc w:val="right"/>
              <w:bidi w:val="1"/>
            </w:pPr>
            <w:r>
              <w:rPr>
                <w:rFonts w:ascii="Arial" w:hAnsi="Arial" w:cs="Arial"/>
                <w:sz w:val="14"/>
              </w:rPr>
              <w:t>لا يجمع المنفذ بين الاعتماد والتسجيل</w:t>
            </w:r>
          </w:p>
        </w:tc>
      </w:tr>
      <w:tr>
        <w:trPr>
          <w:cantSplit/>
        </w:trPr>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فتح/إغلاق الحساب البنكي</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A</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R</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V</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E</w:t>
            </w:r>
          </w:p>
        </w:tc>
        <w:tc>
          <w:tcPr>
            <w:tcW w:type="dxa" w:w="1850"/>
            <w:tcMar>
              <w:top w:w="90" w:type="dxa"/>
              <w:start w:w="110" w:type="dxa"/>
              <w:bottom w:w="90" w:type="dxa"/>
              <w:end w:w="110" w:type="dxa"/>
            </w:tcMar>
            <w:vAlign w:val="center"/>
          </w:tcPr>
          <w:p>
            <w:pPr>
              <w:spacing w:before="40" w:after="40"/>
              <w:jc w:val="right"/>
              <w:bidi w:val="1"/>
            </w:pPr>
            <w:r>
              <w:rPr>
                <w:rFonts w:ascii="Arial" w:hAnsi="Arial" w:cs="Arial"/>
                <w:sz w:val="14"/>
              </w:rPr>
              <w:t>التوقيع والتفويض وفق اللائحة والموافقات</w:t>
            </w:r>
          </w:p>
        </w:tc>
      </w:tr>
      <w:tr>
        <w:trPr>
          <w:cantSplit/>
        </w:trPr>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4"/>
              </w:rPr>
              <w:t>المناقلات والاعتماد الإضافي</w:t>
            </w:r>
          </w:p>
        </w:tc>
        <w:tc>
          <w:tcPr>
            <w:tcW w:type="dxa" w:w="1100"/>
            <w:shd w:fill="F2F4F5"/>
            <w:tcMar>
              <w:top w:w="90" w:type="dxa"/>
              <w:start w:w="110" w:type="dxa"/>
              <w:bottom w:w="90" w:type="dxa"/>
              <w:end w:w="110" w:type="dxa"/>
            </w:tcMar>
            <w:vAlign w:val="center"/>
          </w:tcPr>
          <w:p>
            <w:pPr>
              <w:spacing w:before="40" w:after="40"/>
              <w:jc w:val="center"/>
              <w:bidi w:val="1"/>
            </w:pPr>
            <w:r>
              <w:rPr>
                <w:rFonts w:ascii="Arial" w:hAnsi="Arial" w:cs="Arial"/>
                <w:sz w:val="14"/>
              </w:rPr>
              <w:t>A أو وفق التفويض</w:t>
            </w:r>
          </w:p>
        </w:tc>
        <w:tc>
          <w:tcPr>
            <w:tcW w:type="dxa" w:w="1150"/>
            <w:shd w:fill="F2F4F5"/>
            <w:tcMar>
              <w:top w:w="90" w:type="dxa"/>
              <w:start w:w="110" w:type="dxa"/>
              <w:bottom w:w="90" w:type="dxa"/>
              <w:end w:w="110" w:type="dxa"/>
            </w:tcMar>
            <w:vAlign w:val="center"/>
          </w:tcPr>
          <w:p>
            <w:pPr>
              <w:spacing w:before="40" w:after="40"/>
              <w:jc w:val="center"/>
              <w:bidi w:val="1"/>
            </w:pPr>
            <w:r>
              <w:rPr>
                <w:rFonts w:ascii="Arial" w:hAnsi="Arial" w:cs="Arial"/>
                <w:sz w:val="14"/>
              </w:rPr>
              <w:t>R</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V</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E</w:t>
            </w:r>
          </w:p>
        </w:tc>
        <w:tc>
          <w:tcPr>
            <w:tcW w:type="dxa" w:w="1850"/>
            <w:shd w:fill="F2F4F5"/>
            <w:tcMar>
              <w:top w:w="90" w:type="dxa"/>
              <w:start w:w="110" w:type="dxa"/>
              <w:bottom w:w="90" w:type="dxa"/>
              <w:end w:w="110" w:type="dxa"/>
            </w:tcMar>
            <w:vAlign w:val="center"/>
          </w:tcPr>
          <w:p>
            <w:pPr>
              <w:spacing w:before="40" w:after="40"/>
              <w:jc w:val="right"/>
              <w:bidi w:val="1"/>
            </w:pPr>
            <w:r>
              <w:rPr>
                <w:rFonts w:ascii="Arial" w:hAnsi="Arial" w:cs="Arial"/>
                <w:sz w:val="14"/>
              </w:rPr>
              <w:t>لا ينفذ دون اعتماد موثق</w:t>
            </w:r>
          </w:p>
        </w:tc>
      </w:tr>
      <w:tr>
        <w:trPr>
          <w:cantSplit/>
        </w:trPr>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القوائم والحساب الختامي</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R للعمومية</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V</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E</w:t>
            </w:r>
          </w:p>
        </w:tc>
        <w:tc>
          <w:tcPr>
            <w:tcW w:type="dxa" w:w="1850"/>
            <w:tcMar>
              <w:top w:w="90" w:type="dxa"/>
              <w:start w:w="110" w:type="dxa"/>
              <w:bottom w:w="90" w:type="dxa"/>
              <w:end w:w="110" w:type="dxa"/>
            </w:tcMar>
            <w:vAlign w:val="center"/>
          </w:tcPr>
          <w:p>
            <w:pPr>
              <w:spacing w:before="40" w:after="40"/>
              <w:jc w:val="right"/>
              <w:bidi w:val="1"/>
            </w:pPr>
            <w:r>
              <w:rPr>
                <w:rFonts w:ascii="Arial" w:hAnsi="Arial" w:cs="Arial"/>
                <w:sz w:val="14"/>
              </w:rPr>
              <w:t>إقرار الجمعية العمومية ورفعها في الموعد</w:t>
            </w:r>
          </w:p>
        </w:tc>
      </w:tr>
      <w:tr>
        <w:trPr>
          <w:cantSplit/>
        </w:trPr>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4"/>
              </w:rPr>
              <w:t>شطب أصل أو دين</w:t>
            </w:r>
          </w:p>
        </w:tc>
        <w:tc>
          <w:tcPr>
            <w:tcW w:type="dxa" w:w="1100"/>
            <w:shd w:fill="F2F4F5"/>
            <w:tcMar>
              <w:top w:w="90" w:type="dxa"/>
              <w:start w:w="110" w:type="dxa"/>
              <w:bottom w:w="90" w:type="dxa"/>
              <w:end w:w="110" w:type="dxa"/>
            </w:tcMar>
            <w:vAlign w:val="center"/>
          </w:tcPr>
          <w:p>
            <w:pPr>
              <w:spacing w:before="40" w:after="40"/>
              <w:jc w:val="center"/>
              <w:bidi w:val="1"/>
            </w:pPr>
            <w:r>
              <w:rPr>
                <w:rFonts w:ascii="Arial" w:hAnsi="Arial" w:cs="Arial"/>
                <w:sz w:val="14"/>
              </w:rPr>
              <w:t>A أو وفق السقف</w:t>
            </w:r>
          </w:p>
        </w:tc>
        <w:tc>
          <w:tcPr>
            <w:tcW w:type="dxa" w:w="1150"/>
            <w:shd w:fill="F2F4F5"/>
            <w:tcMar>
              <w:top w:w="90" w:type="dxa"/>
              <w:start w:w="110" w:type="dxa"/>
              <w:bottom w:w="90" w:type="dxa"/>
              <w:end w:w="110" w:type="dxa"/>
            </w:tcMar>
            <w:vAlign w:val="center"/>
          </w:tcPr>
          <w:p>
            <w:pPr>
              <w:spacing w:before="40" w:after="40"/>
              <w:jc w:val="center"/>
              <w:bidi w:val="1"/>
            </w:pPr>
            <w:r>
              <w:rPr>
                <w:rFonts w:ascii="Arial" w:hAnsi="Arial" w:cs="Arial"/>
                <w:sz w:val="14"/>
              </w:rPr>
              <w:t>R</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V</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E</w:t>
            </w:r>
          </w:p>
        </w:tc>
        <w:tc>
          <w:tcPr>
            <w:tcW w:type="dxa" w:w="1850"/>
            <w:shd w:fill="F2F4F5"/>
            <w:tcMar>
              <w:top w:w="90" w:type="dxa"/>
              <w:start w:w="110" w:type="dxa"/>
              <w:bottom w:w="90" w:type="dxa"/>
              <w:end w:w="110" w:type="dxa"/>
            </w:tcMar>
            <w:vAlign w:val="center"/>
          </w:tcPr>
          <w:p>
            <w:pPr>
              <w:spacing w:before="40" w:after="40"/>
              <w:jc w:val="right"/>
              <w:bidi w:val="1"/>
            </w:pPr>
            <w:r>
              <w:rPr>
                <w:rFonts w:ascii="Arial" w:hAnsi="Arial" w:cs="Arial"/>
                <w:sz w:val="14"/>
              </w:rPr>
              <w:t>بعد تقرير ومبررات وتحقيق مسؤولية</w:t>
            </w:r>
          </w:p>
        </w:tc>
      </w:tr>
      <w:tr>
        <w:trPr>
          <w:cantSplit/>
        </w:trPr>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الاستثمار أو التمويل أو الرهن</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وفق النظام واللائحة الأساسية</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R</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V</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E</w:t>
            </w:r>
          </w:p>
        </w:tc>
        <w:tc>
          <w:tcPr>
            <w:tcW w:type="dxa" w:w="1850"/>
            <w:tcMar>
              <w:top w:w="90" w:type="dxa"/>
              <w:start w:w="110" w:type="dxa"/>
              <w:bottom w:w="90" w:type="dxa"/>
              <w:end w:w="110" w:type="dxa"/>
            </w:tcMar>
            <w:vAlign w:val="center"/>
          </w:tcPr>
          <w:p>
            <w:pPr>
              <w:spacing w:before="40" w:after="40"/>
              <w:jc w:val="right"/>
              <w:bidi w:val="1"/>
            </w:pPr>
            <w:r>
              <w:rPr>
                <w:rFonts w:ascii="Arial" w:hAnsi="Arial" w:cs="Arial"/>
                <w:sz w:val="14"/>
              </w:rPr>
              <w:t>تؤخذ موافقات العمومية/المركز عند اللزوم</w:t>
            </w:r>
          </w:p>
        </w:tc>
      </w:tr>
    </w:tbl>
    <w:p>
      <w:pPr>
        <w:spacing w:after="80"/>
        <w:jc w:val="right"/>
        <w:bidi w:val="1"/>
      </w:pPr>
      <w:r>
        <w:rPr>
          <w:rFonts w:ascii="Arial" w:hAnsi="Arial" w:cs="Arial"/>
          <w:b/>
          <w:color w:val="0B7F9E"/>
        </w:rPr>
        <w:t>الرموز: A اعتماد نهائي، R توصية، V مراجعة، E تنفيذ. يطبق الجدول مع المصفوفة التفصيلية النافذة؛ وإذا اختلفا يقدم الأحدث والأعلى اعتمادًا بعد التحقق من المشروعية.</w:t>
      </w:r>
    </w:p>
    <w:p>
      <w:pPr>
        <w:pStyle w:val="Heading2"/>
        <w:jc w:val="right"/>
        <w:keepNext/>
        <w:bidi w:val="1"/>
      </w:pPr>
      <w:r>
        <w:rPr>
          <w:rFonts w:ascii="Arial" w:hAnsi="Arial" w:cs="Arial"/>
        </w:rPr>
        <w:t>12. ضوابط التفويض</w:t>
      </w:r>
    </w:p>
    <w:p>
      <w:pPr>
        <w:pStyle w:val="ListBullet"/>
        <w:spacing w:after="40"/>
        <w:ind w:left="288" w:right="360"/>
        <w:jc w:val="right"/>
        <w:bidi w:val="1"/>
      </w:pPr>
      <w:r>
        <w:rPr>
          <w:rFonts w:ascii="Arial" w:hAnsi="Arial" w:cs="Arial"/>
          <w:sz w:val="20"/>
        </w:rPr>
        <w:t>يكون التفويض مكتوبًا ومحدد العملية والسقف والمدة والشروط، ولا يفترض من المسمى الوظيفي وحده.</w:t>
      </w:r>
    </w:p>
    <w:p>
      <w:pPr>
        <w:pStyle w:val="ListBullet"/>
        <w:spacing w:after="40"/>
        <w:ind w:left="288" w:right="360"/>
        <w:jc w:val="right"/>
        <w:bidi w:val="1"/>
      </w:pPr>
      <w:r>
        <w:rPr>
          <w:rFonts w:ascii="Arial" w:hAnsi="Arial" w:cs="Arial"/>
          <w:sz w:val="20"/>
        </w:rPr>
        <w:t>لا يفوض المفوض إليه غيره إلا إذا أجاز قرار التفويض ذلك صراحة.</w:t>
      </w:r>
    </w:p>
    <w:p>
      <w:pPr>
        <w:pStyle w:val="ListBullet"/>
        <w:spacing w:after="40"/>
        <w:ind w:left="288" w:right="360"/>
        <w:jc w:val="right"/>
        <w:bidi w:val="1"/>
      </w:pPr>
      <w:r>
        <w:rPr>
          <w:rFonts w:ascii="Arial" w:hAnsi="Arial" w:cs="Arial"/>
          <w:sz w:val="20"/>
        </w:rPr>
        <w:t>لا يشمل التفويض الصلاحيات المحجوزة للجمعية العمومية أو المركز أو المجلس نظامًا.</w:t>
      </w:r>
    </w:p>
    <w:p>
      <w:pPr>
        <w:pStyle w:val="ListBullet"/>
        <w:spacing w:after="40"/>
        <w:ind w:left="288" w:right="360"/>
        <w:jc w:val="right"/>
        <w:bidi w:val="1"/>
      </w:pPr>
      <w:r>
        <w:rPr>
          <w:rFonts w:ascii="Arial" w:hAnsi="Arial" w:cs="Arial"/>
          <w:sz w:val="20"/>
        </w:rPr>
        <w:t>يوقف التفويض بانتهاء المدة أو الصفة أو بقرار السحب، وتحدث صلاحيات الأنظمة والبنوك فورًا.</w:t>
      </w:r>
    </w:p>
    <w:p>
      <w:pPr>
        <w:pStyle w:val="ListBullet"/>
        <w:spacing w:after="40"/>
        <w:ind w:left="288" w:right="360"/>
        <w:jc w:val="right"/>
        <w:bidi w:val="1"/>
      </w:pPr>
      <w:r>
        <w:rPr>
          <w:rFonts w:ascii="Arial" w:hAnsi="Arial" w:cs="Arial"/>
          <w:sz w:val="20"/>
        </w:rPr>
        <w:t>لا يجيز التفويض اعتماد الشخص مطالبة تخصه أو طرفًا ذا علاقة به، ويطبق تعارض المصالح.</w:t>
      </w:r>
    </w:p>
    <w:p>
      <w:pPr>
        <w:pStyle w:val="Heading2"/>
        <w:jc w:val="right"/>
        <w:keepNext/>
        <w:bidi w:val="1"/>
      </w:pPr>
      <w:r>
        <w:rPr>
          <w:rFonts w:ascii="Arial" w:hAnsi="Arial" w:cs="Arial"/>
        </w:rPr>
        <w:t>13. الفصل بين المهام</w:t>
      </w:r>
    </w:p>
    <w:tbl>
      <w:tblPr>
        <w:tblStyle w:val="TableGrid"/>
        <w:tblW w:type="dxa" w:w="8500"/>
        <w:jc w:val="center"/>
        <w:tblLayout w:type="fixed"/>
        <w:tblLook w:firstColumn="1" w:firstRow="1" w:lastColumn="0" w:lastRow="0" w:noHBand="0" w:noVBand="1" w:val="04A0"/>
        <w:tblInd w:w="0" w:type="dxa"/>
        <w:bidiVisual/>
      </w:tblPr>
      <w:tblGrid>
        <w:gridCol w:w="1900"/>
        <w:gridCol w:w="2800"/>
        <w:gridCol w:w="3800"/>
      </w:tblGrid>
      <w:tr>
        <w:trPr>
          <w:cantSplit/>
        </w:trPr>
        <w:tc>
          <w:tcPr>
            <w:tcW w:type="dxa" w:w="1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المرحلة</w:t>
            </w:r>
          </w:p>
        </w:tc>
        <w:tc>
          <w:tcPr>
            <w:tcW w:type="dxa" w:w="2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المسؤول النموذجي</w:t>
            </w:r>
          </w:p>
        </w:tc>
        <w:tc>
          <w:tcPr>
            <w:tcW w:type="dxa" w:w="3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ضابط الفصل</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طلب الاحتياج</w:t>
            </w:r>
          </w:p>
        </w:tc>
        <w:tc>
          <w:tcPr>
            <w:tcW w:type="dxa" w:w="2800"/>
            <w:tcMar>
              <w:top w:w="90" w:type="dxa"/>
              <w:start w:w="110" w:type="dxa"/>
              <w:bottom w:w="90" w:type="dxa"/>
              <w:end w:w="110" w:type="dxa"/>
            </w:tcMar>
            <w:vAlign w:val="center"/>
          </w:tcPr>
          <w:p>
            <w:pPr>
              <w:spacing w:before="40" w:after="40"/>
              <w:jc w:val="right"/>
              <w:bidi w:val="1"/>
            </w:pPr>
            <w:r>
              <w:rPr>
                <w:rFonts w:ascii="Arial" w:hAnsi="Arial" w:cs="Arial"/>
                <w:sz w:val="16"/>
              </w:rPr>
              <w:t>الوحدة المستفيدة</w:t>
            </w:r>
          </w:p>
        </w:tc>
        <w:tc>
          <w:tcPr>
            <w:tcW w:type="dxa" w:w="3800"/>
            <w:tcMar>
              <w:top w:w="90" w:type="dxa"/>
              <w:start w:w="110" w:type="dxa"/>
              <w:bottom w:w="90" w:type="dxa"/>
              <w:end w:w="110" w:type="dxa"/>
            </w:tcMar>
            <w:vAlign w:val="center"/>
          </w:tcPr>
          <w:p>
            <w:pPr>
              <w:spacing w:before="40" w:after="40"/>
              <w:jc w:val="right"/>
              <w:bidi w:val="1"/>
            </w:pPr>
            <w:r>
              <w:rPr>
                <w:rFonts w:ascii="Arial" w:hAnsi="Arial" w:cs="Arial"/>
                <w:sz w:val="16"/>
              </w:rPr>
              <w:t>لا تعتمد طلبها اعتمادًا نهائيًا</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التحقق الفني/الاستلام</w:t>
            </w:r>
          </w:p>
        </w:tc>
        <w:tc>
          <w:tcPr>
            <w:tcW w:type="dxa" w:w="2800"/>
            <w:shd w:fill="F2F4F5"/>
            <w:tcMar>
              <w:top w:w="90" w:type="dxa"/>
              <w:start w:w="110" w:type="dxa"/>
              <w:bottom w:w="90" w:type="dxa"/>
              <w:end w:w="110" w:type="dxa"/>
            </w:tcMar>
            <w:vAlign w:val="center"/>
          </w:tcPr>
          <w:p>
            <w:pPr>
              <w:spacing w:before="40" w:after="40"/>
              <w:jc w:val="right"/>
              <w:bidi w:val="1"/>
            </w:pPr>
            <w:r>
              <w:rPr>
                <w:rFonts w:ascii="Arial" w:hAnsi="Arial" w:cs="Arial"/>
                <w:sz w:val="16"/>
              </w:rPr>
              <w:t>مختص أو لجنة/وحدة مستفيدة</w:t>
            </w:r>
          </w:p>
        </w:tc>
        <w:tc>
          <w:tcPr>
            <w:tcW w:type="dxa" w:w="3800"/>
            <w:shd w:fill="F2F4F5"/>
            <w:tcMar>
              <w:top w:w="90" w:type="dxa"/>
              <w:start w:w="110" w:type="dxa"/>
              <w:bottom w:w="90" w:type="dxa"/>
              <w:end w:w="110" w:type="dxa"/>
            </w:tcMar>
            <w:vAlign w:val="center"/>
          </w:tcPr>
          <w:p>
            <w:pPr>
              <w:spacing w:before="40" w:after="40"/>
              <w:jc w:val="right"/>
              <w:bidi w:val="1"/>
            </w:pPr>
            <w:r>
              <w:rPr>
                <w:rFonts w:ascii="Arial" w:hAnsi="Arial" w:cs="Arial"/>
                <w:sz w:val="16"/>
              </w:rPr>
              <w:t>مستقل عن المورد وعن منفذ الدفع</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المراجعة المالية</w:t>
            </w:r>
          </w:p>
        </w:tc>
        <w:tc>
          <w:tcPr>
            <w:tcW w:type="dxa" w:w="2800"/>
            <w:tcMar>
              <w:top w:w="90" w:type="dxa"/>
              <w:start w:w="110" w:type="dxa"/>
              <w:bottom w:w="90" w:type="dxa"/>
              <w:end w:w="110" w:type="dxa"/>
            </w:tcMar>
            <w:vAlign w:val="center"/>
          </w:tcPr>
          <w:p>
            <w:pPr>
              <w:spacing w:before="40" w:after="40"/>
              <w:jc w:val="right"/>
              <w:bidi w:val="1"/>
            </w:pPr>
            <w:r>
              <w:rPr>
                <w:rFonts w:ascii="Arial" w:hAnsi="Arial" w:cs="Arial"/>
                <w:sz w:val="16"/>
              </w:rPr>
              <w:t>الوحدة المالية</w:t>
            </w:r>
          </w:p>
        </w:tc>
        <w:tc>
          <w:tcPr>
            <w:tcW w:type="dxa" w:w="3800"/>
            <w:tcMar>
              <w:top w:w="90" w:type="dxa"/>
              <w:start w:w="110" w:type="dxa"/>
              <w:bottom w:w="90" w:type="dxa"/>
              <w:end w:w="110" w:type="dxa"/>
            </w:tcMar>
            <w:vAlign w:val="center"/>
          </w:tcPr>
          <w:p>
            <w:pPr>
              <w:spacing w:before="40" w:after="40"/>
              <w:jc w:val="right"/>
              <w:bidi w:val="1"/>
            </w:pPr>
            <w:r>
              <w:rPr>
                <w:rFonts w:ascii="Arial" w:hAnsi="Arial" w:cs="Arial"/>
                <w:sz w:val="16"/>
              </w:rPr>
              <w:t>تتحقق من الاعتماد والميزانية والمستند</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الاعتماد</w:t>
            </w:r>
          </w:p>
        </w:tc>
        <w:tc>
          <w:tcPr>
            <w:tcW w:type="dxa" w:w="2800"/>
            <w:shd w:fill="F2F4F5"/>
            <w:tcMar>
              <w:top w:w="90" w:type="dxa"/>
              <w:start w:w="110" w:type="dxa"/>
              <w:bottom w:w="90" w:type="dxa"/>
              <w:end w:w="110" w:type="dxa"/>
            </w:tcMar>
            <w:vAlign w:val="center"/>
          </w:tcPr>
          <w:p>
            <w:pPr>
              <w:spacing w:before="40" w:after="40"/>
              <w:jc w:val="right"/>
              <w:bidi w:val="1"/>
            </w:pPr>
            <w:r>
              <w:rPr>
                <w:rFonts w:ascii="Arial" w:hAnsi="Arial" w:cs="Arial"/>
                <w:sz w:val="16"/>
              </w:rPr>
              <w:t>صاحب الصلاحية</w:t>
            </w:r>
          </w:p>
        </w:tc>
        <w:tc>
          <w:tcPr>
            <w:tcW w:type="dxa" w:w="3800"/>
            <w:shd w:fill="F2F4F5"/>
            <w:tcMar>
              <w:top w:w="90" w:type="dxa"/>
              <w:start w:w="110" w:type="dxa"/>
              <w:bottom w:w="90" w:type="dxa"/>
              <w:end w:w="110" w:type="dxa"/>
            </w:tcMar>
            <w:vAlign w:val="center"/>
          </w:tcPr>
          <w:p>
            <w:pPr>
              <w:spacing w:before="40" w:after="40"/>
              <w:jc w:val="right"/>
              <w:bidi w:val="1"/>
            </w:pPr>
            <w:r>
              <w:rPr>
                <w:rFonts w:ascii="Arial" w:hAnsi="Arial" w:cs="Arial"/>
                <w:sz w:val="16"/>
              </w:rPr>
              <w:t>لا يعتمد مطالبة شخصية أو متعارضة</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الدفع</w:t>
            </w:r>
          </w:p>
        </w:tc>
        <w:tc>
          <w:tcPr>
            <w:tcW w:type="dxa" w:w="2800"/>
            <w:tcMar>
              <w:top w:w="90" w:type="dxa"/>
              <w:start w:w="110" w:type="dxa"/>
              <w:bottom w:w="90" w:type="dxa"/>
              <w:end w:w="110" w:type="dxa"/>
            </w:tcMar>
            <w:vAlign w:val="center"/>
          </w:tcPr>
          <w:p>
            <w:pPr>
              <w:spacing w:before="40" w:after="40"/>
              <w:jc w:val="right"/>
              <w:bidi w:val="1"/>
            </w:pPr>
            <w:r>
              <w:rPr>
                <w:rFonts w:ascii="Arial" w:hAnsi="Arial" w:cs="Arial"/>
                <w:sz w:val="16"/>
              </w:rPr>
              <w:t>مخول بنكي/أمين صندوق</w:t>
            </w:r>
          </w:p>
        </w:tc>
        <w:tc>
          <w:tcPr>
            <w:tcW w:type="dxa" w:w="3800"/>
            <w:tcMar>
              <w:top w:w="90" w:type="dxa"/>
              <w:start w:w="110" w:type="dxa"/>
              <w:bottom w:w="90" w:type="dxa"/>
              <w:end w:w="110" w:type="dxa"/>
            </w:tcMar>
            <w:vAlign w:val="center"/>
          </w:tcPr>
          <w:p>
            <w:pPr>
              <w:spacing w:before="40" w:after="40"/>
              <w:jc w:val="right"/>
              <w:bidi w:val="1"/>
            </w:pPr>
            <w:r>
              <w:rPr>
                <w:rFonts w:ascii="Arial" w:hAnsi="Arial" w:cs="Arial"/>
                <w:sz w:val="16"/>
              </w:rPr>
              <w:t>لا يغير بيانات المستفيد دون تحقق مستقل</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التسجيل</w:t>
            </w:r>
          </w:p>
        </w:tc>
        <w:tc>
          <w:tcPr>
            <w:tcW w:type="dxa" w:w="28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المحاسب</w:t>
            </w:r>
          </w:p>
        </w:tc>
        <w:tc>
          <w:tcPr>
            <w:tcW w:type="dxa" w:w="3800"/>
            <w:shd w:fill="F2F4F5"/>
            <w:tcMar>
              <w:top w:w="90" w:type="dxa"/>
              <w:start w:w="110" w:type="dxa"/>
              <w:bottom w:w="90" w:type="dxa"/>
              <w:end w:w="110" w:type="dxa"/>
            </w:tcMar>
            <w:vAlign w:val="center"/>
          </w:tcPr>
          <w:p>
            <w:pPr>
              <w:spacing w:before="40" w:after="40"/>
              <w:jc w:val="right"/>
              <w:bidi w:val="1"/>
            </w:pPr>
            <w:r>
              <w:rPr>
                <w:rFonts w:ascii="Arial" w:hAnsi="Arial" w:cs="Arial"/>
                <w:sz w:val="16"/>
              </w:rPr>
              <w:t>لا ينشئ مستندًا بديلًا لتغطية نقص جوهري</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التسوية والمراجعة</w:t>
            </w:r>
          </w:p>
        </w:tc>
        <w:tc>
          <w:tcPr>
            <w:tcW w:type="dxa" w:w="2800"/>
            <w:tcMar>
              <w:top w:w="90" w:type="dxa"/>
              <w:start w:w="110" w:type="dxa"/>
              <w:bottom w:w="90" w:type="dxa"/>
              <w:end w:w="110" w:type="dxa"/>
            </w:tcMar>
            <w:vAlign w:val="center"/>
          </w:tcPr>
          <w:p>
            <w:pPr>
              <w:spacing w:before="40" w:after="40"/>
              <w:jc w:val="right"/>
              <w:bidi w:val="1"/>
            </w:pPr>
            <w:r>
              <w:rPr>
                <w:rFonts w:ascii="Arial" w:hAnsi="Arial" w:cs="Arial"/>
                <w:sz w:val="16"/>
              </w:rPr>
              <w:t>شخص مستقل نسبيًا</w:t>
            </w:r>
          </w:p>
        </w:tc>
        <w:tc>
          <w:tcPr>
            <w:tcW w:type="dxa" w:w="3800"/>
            <w:tcMar>
              <w:top w:w="90" w:type="dxa"/>
              <w:start w:w="110" w:type="dxa"/>
              <w:bottom w:w="90" w:type="dxa"/>
              <w:end w:w="110" w:type="dxa"/>
            </w:tcMar>
            <w:vAlign w:val="center"/>
          </w:tcPr>
          <w:p>
            <w:pPr>
              <w:spacing w:before="40" w:after="40"/>
              <w:jc w:val="right"/>
              <w:bidi w:val="1"/>
            </w:pPr>
            <w:r>
              <w:rPr>
                <w:rFonts w:ascii="Arial" w:hAnsi="Arial" w:cs="Arial"/>
                <w:sz w:val="16"/>
              </w:rPr>
              <w:t>يراجع البنك والعهد والاستثناءات</w:t>
            </w:r>
          </w:p>
        </w:tc>
      </w:tr>
    </w:tbl>
    <w:p>
      <w:pPr>
        <w:spacing w:after="80"/>
        <w:jc w:val="right"/>
        <w:bidi w:val="1"/>
      </w:pPr>
      <w:r>
        <w:rPr>
          <w:rFonts w:ascii="Arial" w:hAnsi="Arial" w:cs="Arial"/>
          <w:b w:val="0"/>
        </w:rPr>
        <w:t>عند محدودية عدد العاملين توثق الضوابط التعويضية، مثل المراجعة اللاحقة من المدير التنفيذي أو عضو مكلف، وتقارير الاستثناء، والمطابقة المستقلة، ولا يترك التعارض دون معالجة.</w:t>
      </w:r>
    </w:p>
    <w:p>
      <w:pPr>
        <w:pStyle w:val="Heading1"/>
        <w:jc w:val="right"/>
        <w:keepNext/>
        <w:bidi w:val="1"/>
      </w:pPr>
      <w:r>
        <w:rPr>
          <w:rFonts w:ascii="Arial" w:hAnsi="Arial" w:cs="Arial"/>
        </w:rPr>
        <w:t>الباب الرابع: الموازنة والتخطيط المالي</w:t>
      </w:r>
    </w:p>
    <w:p>
      <w:pPr>
        <w:pStyle w:val="Heading2"/>
        <w:jc w:val="right"/>
        <w:keepNext/>
        <w:bidi w:val="1"/>
      </w:pPr>
      <w:r>
        <w:rPr>
          <w:rFonts w:ascii="Arial" w:hAnsi="Arial" w:cs="Arial"/>
        </w:rPr>
        <w:t>14. السنة المالية</w:t>
      </w:r>
    </w:p>
    <w:p>
      <w:pPr>
        <w:spacing w:after="80"/>
        <w:jc w:val="right"/>
        <w:bidi w:val="1"/>
      </w:pPr>
      <w:r>
        <w:rPr>
          <w:rFonts w:ascii="Arial" w:hAnsi="Arial" w:cs="Arial"/>
          <w:b w:val="0"/>
        </w:rPr>
        <w:t>تكون السنة المالية اثني عشر شهرًا ميلاديًا وتنتهي بنهاية ديسمبر، أو وفق ما تحدده اللائحة الأساسية. وتعالج السنة الأولى وفق اللائحة التنفيذية النافذة.</w:t>
      </w:r>
    </w:p>
    <w:p>
      <w:pPr>
        <w:pStyle w:val="Heading2"/>
        <w:jc w:val="right"/>
        <w:keepNext/>
        <w:bidi w:val="1"/>
      </w:pPr>
      <w:r>
        <w:rPr>
          <w:rFonts w:ascii="Arial" w:hAnsi="Arial" w:cs="Arial"/>
        </w:rPr>
        <w:t>15. إعداد الموازنة</w:t>
      </w:r>
    </w:p>
    <w:p>
      <w:pPr>
        <w:spacing w:after="60"/>
        <w:ind w:right="288" w:hanging="288"/>
        <w:jc w:val="right"/>
        <w:bidi w:val="1"/>
      </w:pPr>
      <w:r>
        <w:rPr>
          <w:rFonts w:ascii="Arial" w:hAnsi="Arial" w:cs="Arial"/>
          <w:sz w:val="20"/>
        </w:rPr>
        <w:t>1. تصدر الإدارة التنفيذية تعميم الموازنة والافتراضات والمواعيد ومراكز التكلفة.</w:t>
      </w:r>
    </w:p>
    <w:p>
      <w:pPr>
        <w:spacing w:after="60"/>
        <w:ind w:right="288" w:hanging="288"/>
        <w:jc w:val="right"/>
        <w:bidi w:val="1"/>
      </w:pPr>
      <w:r>
        <w:rPr>
          <w:rFonts w:ascii="Arial" w:hAnsi="Arial" w:cs="Arial"/>
          <w:sz w:val="20"/>
        </w:rPr>
        <w:t>2. تعد الوحدات احتياجاتها ومخرجاتها ومؤشراتها وتبريراتها وتدفقها الزمني.</w:t>
      </w:r>
    </w:p>
    <w:p>
      <w:pPr>
        <w:spacing w:after="60"/>
        <w:ind w:right="288" w:hanging="288"/>
        <w:jc w:val="right"/>
        <w:bidi w:val="1"/>
      </w:pPr>
      <w:r>
        <w:rPr>
          <w:rFonts w:ascii="Arial" w:hAnsi="Arial" w:cs="Arial"/>
          <w:sz w:val="20"/>
        </w:rPr>
        <w:t>3. تجمع الوحدة المالية المشروع وتراجع الواقعية والتمويل والقيود والالتزامات والاستدامة.</w:t>
      </w:r>
    </w:p>
    <w:p>
      <w:pPr>
        <w:spacing w:after="60"/>
        <w:ind w:right="288" w:hanging="288"/>
        <w:jc w:val="right"/>
        <w:bidi w:val="1"/>
      </w:pPr>
      <w:r>
        <w:rPr>
          <w:rFonts w:ascii="Arial" w:hAnsi="Arial" w:cs="Arial"/>
          <w:sz w:val="20"/>
        </w:rPr>
        <w:t>4. يراجع المدير التنفيذي وإدارة الخدمات المساندة المشروع ويعالج الفجوة ومخاطر السيولة.</w:t>
      </w:r>
    </w:p>
    <w:p>
      <w:pPr>
        <w:spacing w:after="60"/>
        <w:ind w:right="288" w:hanging="288"/>
        <w:jc w:val="right"/>
        <w:bidi w:val="1"/>
      </w:pPr>
      <w:r>
        <w:rPr>
          <w:rFonts w:ascii="Arial" w:hAnsi="Arial" w:cs="Arial"/>
          <w:sz w:val="20"/>
        </w:rPr>
        <w:t>5. يرفع مجلس الإدارة الموازنة إلى الجمعية العمومية لاعتمادها وفق الاختصاص النظامي.</w:t>
      </w:r>
    </w:p>
    <w:p>
      <w:pPr>
        <w:spacing w:after="60"/>
        <w:ind w:right="288" w:hanging="288"/>
        <w:jc w:val="right"/>
        <w:bidi w:val="1"/>
      </w:pPr>
      <w:r>
        <w:t>6. تحمل الوثيقة رقم القرار وتاريخه، وتحفظ في النظام وتبلغ للوحدات ذات العلاقة.</w:t>
      </w:r>
    </w:p>
    <w:p>
      <w:pPr>
        <w:spacing w:after="60"/>
        <w:ind w:right="288" w:hanging="288"/>
        <w:jc w:val="right"/>
        <w:bidi w:val="1"/>
      </w:pPr>
      <w:r>
        <w:rPr>
          <w:rFonts w:ascii="Arial" w:hAnsi="Arial" w:cs="Arial"/>
          <w:sz w:val="20"/>
        </w:rPr>
        <w:t>7. لا يعد إدراج بند في الموازنة إذنًا تلقائيًا للشراء أو الصرف؛ يلزم مسار الصلاحية والتعاقد.</w:t>
      </w:r>
    </w:p>
    <w:p>
      <w:pPr>
        <w:pStyle w:val="Heading2"/>
        <w:jc w:val="right"/>
        <w:keepNext/>
        <w:bidi w:val="1"/>
      </w:pPr>
      <w:r>
        <w:rPr>
          <w:rFonts w:ascii="Arial" w:hAnsi="Arial" w:cs="Arial"/>
        </w:rPr>
        <w:t>16. تنفيذ الموازنة والمناقلات</w:t>
      </w:r>
    </w:p>
    <w:p>
      <w:pPr>
        <w:pStyle w:val="ListBullet"/>
        <w:spacing w:after="40"/>
        <w:ind w:left="288" w:right="360"/>
        <w:jc w:val="right"/>
        <w:bidi w:val="1"/>
      </w:pPr>
      <w:r>
        <w:rPr>
          <w:rFonts w:ascii="Arial" w:hAnsi="Arial" w:cs="Arial"/>
          <w:sz w:val="20"/>
        </w:rPr>
        <w:t>تراقب الموازنة على مستوى البند ومركز التكلفة والبرنامج والممول والفترة.</w:t>
      </w:r>
    </w:p>
    <w:p>
      <w:pPr>
        <w:pStyle w:val="ListBullet"/>
        <w:spacing w:after="40"/>
        <w:ind w:left="288" w:right="360"/>
        <w:jc w:val="right"/>
        <w:bidi w:val="1"/>
      </w:pPr>
      <w:r>
        <w:rPr>
          <w:rFonts w:ascii="Arial" w:hAnsi="Arial" w:cs="Arial"/>
          <w:sz w:val="20"/>
        </w:rPr>
        <w:t>ترفع تقارير الانحراف الفعلي والملتزم والمتوقع دوريًا مع السبب والإجراء.</w:t>
      </w:r>
    </w:p>
    <w:p>
      <w:pPr>
        <w:pStyle w:val="ListBullet"/>
        <w:spacing w:after="40"/>
        <w:ind w:left="288" w:right="360"/>
        <w:jc w:val="right"/>
        <w:bidi w:val="1"/>
      </w:pPr>
      <w:r>
        <w:rPr>
          <w:rFonts w:ascii="Arial" w:hAnsi="Arial" w:cs="Arial"/>
          <w:sz w:val="20"/>
        </w:rPr>
        <w:t>لا تنفذ مناقلة أو مصروف غير مدرج إلا وفق مصفوفة الصلاحيات واعتماد موثق قبل الالتزام.</w:t>
      </w:r>
    </w:p>
    <w:p>
      <w:pPr>
        <w:pStyle w:val="ListBullet"/>
        <w:spacing w:after="40"/>
        <w:ind w:left="288" w:right="360"/>
        <w:jc w:val="right"/>
        <w:bidi w:val="1"/>
      </w:pPr>
      <w:r>
        <w:rPr>
          <w:rFonts w:ascii="Arial" w:hAnsi="Arial" w:cs="Arial"/>
          <w:sz w:val="20"/>
        </w:rPr>
        <w:t>لا يجوز تجزئة الطلب أو العقد لتخفيض مستوى الصلاحية أو طريقة الشراء.</w:t>
      </w:r>
    </w:p>
    <w:p>
      <w:pPr>
        <w:pStyle w:val="ListBullet"/>
        <w:spacing w:after="40"/>
        <w:ind w:left="288" w:right="360"/>
        <w:jc w:val="right"/>
        <w:bidi w:val="1"/>
      </w:pPr>
      <w:r>
        <w:rPr>
          <w:rFonts w:ascii="Arial" w:hAnsi="Arial" w:cs="Arial"/>
          <w:sz w:val="20"/>
        </w:rPr>
        <w:t>يراعى في المناقلة أثرها على شروط المانح والمخرجات والسيولة والالتزامات.</w:t>
      </w:r>
    </w:p>
    <w:p>
      <w:pPr>
        <w:pStyle w:val="ListBullet"/>
        <w:spacing w:after="40"/>
        <w:ind w:left="288" w:right="360"/>
        <w:jc w:val="right"/>
        <w:bidi w:val="1"/>
      </w:pPr>
      <w:r>
        <w:rPr>
          <w:rFonts w:ascii="Arial" w:hAnsi="Arial" w:cs="Arial"/>
          <w:sz w:val="20"/>
        </w:rPr>
        <w:t>إذا تأخر اعتماد الموازنة، لا يصرف إلا الحد الضروري لاستمرار الالتزامات القائمة وفق قرار مؤقت محدد من صاحب الصلاحية ودون إنشاء توسع جديد.</w:t>
      </w:r>
    </w:p>
    <w:p>
      <w:pPr>
        <w:pStyle w:val="Heading2"/>
        <w:jc w:val="right"/>
        <w:keepNext/>
        <w:bidi w:val="1"/>
      </w:pPr>
      <w:r>
        <w:rPr>
          <w:rFonts w:ascii="Arial" w:hAnsi="Arial" w:cs="Arial"/>
        </w:rPr>
        <w:t>17. إدارة السيولة والاستدامة</w:t>
      </w:r>
    </w:p>
    <w:p>
      <w:pPr>
        <w:pStyle w:val="ListBullet"/>
        <w:spacing w:after="40"/>
        <w:ind w:left="288" w:right="360"/>
        <w:jc w:val="right"/>
        <w:bidi w:val="1"/>
      </w:pPr>
      <w:r>
        <w:rPr>
          <w:rFonts w:ascii="Arial" w:hAnsi="Arial" w:cs="Arial"/>
          <w:sz w:val="20"/>
        </w:rPr>
        <w:t>إعداد توقع نقدي متجدد يوضح التدفقات والالتزامات ومخاطر العجز.</w:t>
      </w:r>
    </w:p>
    <w:p>
      <w:pPr>
        <w:pStyle w:val="ListBullet"/>
        <w:spacing w:after="40"/>
        <w:ind w:left="288" w:right="360"/>
        <w:jc w:val="right"/>
        <w:bidi w:val="1"/>
      </w:pPr>
      <w:r>
        <w:rPr>
          <w:rFonts w:ascii="Arial" w:hAnsi="Arial" w:cs="Arial"/>
          <w:sz w:val="20"/>
        </w:rPr>
        <w:t>الحفاظ على رصيد تشغيلي مناسب يقرره المجلس بحسب طبيعة الجمعية ومخاطرها.</w:t>
      </w:r>
    </w:p>
    <w:p>
      <w:pPr>
        <w:pStyle w:val="ListBullet"/>
        <w:spacing w:after="40"/>
        <w:ind w:left="288" w:right="360"/>
        <w:jc w:val="right"/>
        <w:bidi w:val="1"/>
      </w:pPr>
      <w:r>
        <w:rPr>
          <w:rFonts w:ascii="Arial" w:hAnsi="Arial" w:cs="Arial"/>
          <w:sz w:val="20"/>
        </w:rPr>
        <w:t>عدم استخدام أموال مقيدة لسد نقص غير مرتبط بغرضها.</w:t>
      </w:r>
    </w:p>
    <w:p>
      <w:pPr>
        <w:pStyle w:val="ListBullet"/>
        <w:spacing w:after="40"/>
        <w:ind w:left="288" w:right="360"/>
        <w:jc w:val="right"/>
        <w:bidi w:val="1"/>
      </w:pPr>
      <w:r>
        <w:rPr>
          <w:rFonts w:ascii="Arial" w:hAnsi="Arial" w:cs="Arial"/>
          <w:sz w:val="20"/>
        </w:rPr>
        <w:t>رفع إنذار مبكر للمجلس عند توقع عجز أو تأخر تمويل أو تعثر تحصيل.</w:t>
      </w:r>
    </w:p>
    <w:p>
      <w:pPr>
        <w:pStyle w:val="ListBullet"/>
        <w:spacing w:after="40"/>
        <w:ind w:left="288" w:right="360"/>
        <w:jc w:val="right"/>
        <w:bidi w:val="1"/>
      </w:pPr>
      <w:r>
        <w:rPr>
          <w:rFonts w:ascii="Arial" w:hAnsi="Arial" w:cs="Arial"/>
          <w:sz w:val="20"/>
        </w:rPr>
        <w:t>تخضع الودائع والاستثمارات والتمويلات والرهون لموافقة الجهة المختصة في اللائحة الأساسية والأنظمة والمصفوفة.</w:t>
      </w:r>
    </w:p>
    <w:p>
      <w:pPr>
        <w:pStyle w:val="Heading1"/>
        <w:jc w:val="right"/>
        <w:keepNext/>
        <w:bidi w:val="1"/>
      </w:pPr>
      <w:r>
        <w:rPr>
          <w:rFonts w:ascii="Arial" w:hAnsi="Arial" w:cs="Arial"/>
        </w:rPr>
        <w:t>الباب الخامس: الإيرادات والتحصيل</w:t>
      </w:r>
    </w:p>
    <w:p>
      <w:pPr>
        <w:pStyle w:val="Heading2"/>
        <w:jc w:val="right"/>
        <w:keepNext/>
        <w:bidi w:val="1"/>
      </w:pPr>
      <w:r>
        <w:rPr>
          <w:rFonts w:ascii="Arial" w:hAnsi="Arial" w:cs="Arial"/>
        </w:rPr>
        <w:t>18. مصادر الأموال</w:t>
      </w:r>
    </w:p>
    <w:p>
      <w:pPr>
        <w:spacing w:after="80"/>
        <w:jc w:val="right"/>
        <w:bidi w:val="1"/>
      </w:pPr>
      <w:r>
        <w:rPr>
          <w:rFonts w:ascii="Arial" w:hAnsi="Arial" w:cs="Arial"/>
          <w:b w:val="0"/>
        </w:rPr>
        <w:t>تقبل الجمعية الموارد المسموح بها في النظام ولائحتها الأساسية، مثل رسوم العضوية - إن وجدت - وعوائد الأنشطة والهبات والأوقاف والتبرعات والدعم الحكومي والعوائد الاستثمارية والعقود والمشروعات، والزكوات إذا كانت ضمن نشاطها ومصارفها، وأي مورد مشروع توافق عليه الجهة المختصة.</w:t>
      </w:r>
    </w:p>
    <w:p>
      <w:pPr>
        <w:pStyle w:val="Heading2"/>
        <w:jc w:val="right"/>
        <w:keepNext/>
        <w:bidi w:val="1"/>
      </w:pPr>
      <w:r>
        <w:rPr>
          <w:rFonts w:ascii="Arial" w:hAnsi="Arial" w:cs="Arial"/>
        </w:rPr>
        <w:t>19. التحصيل والإيداع</w:t>
      </w:r>
    </w:p>
    <w:p>
      <w:pPr>
        <w:pStyle w:val="ListBullet"/>
        <w:spacing w:after="40"/>
        <w:ind w:left="288" w:right="360"/>
        <w:jc w:val="right"/>
        <w:bidi w:val="1"/>
      </w:pPr>
      <w:r>
        <w:rPr>
          <w:rFonts w:ascii="Arial" w:hAnsi="Arial" w:cs="Arial"/>
          <w:sz w:val="20"/>
        </w:rPr>
        <w:t>تستخدم الحسابات والقنوات الرسمية باسم الجمعية فقط، ويحظر التحصيل في حساب شخصي.</w:t>
      </w:r>
    </w:p>
    <w:p>
      <w:pPr>
        <w:pStyle w:val="ListBullet"/>
        <w:spacing w:after="40"/>
        <w:ind w:left="288" w:right="360"/>
        <w:jc w:val="right"/>
        <w:bidi w:val="1"/>
      </w:pPr>
      <w:r>
        <w:rPr>
          <w:rFonts w:ascii="Arial" w:hAnsi="Arial" w:cs="Arial"/>
          <w:sz w:val="20"/>
        </w:rPr>
        <w:t>يصدر إيصال أو إشعار إلكتروني متسلسل لكل تحصيل، ويربط بالمصدر والغرض والحملة أو البرنامج.</w:t>
      </w:r>
    </w:p>
    <w:p>
      <w:pPr>
        <w:pStyle w:val="ListBullet"/>
        <w:spacing w:after="40"/>
        <w:ind w:left="288" w:right="360"/>
        <w:jc w:val="right"/>
        <w:bidi w:val="1"/>
      </w:pPr>
      <w:r>
        <w:rPr>
          <w:rFonts w:ascii="Arial" w:hAnsi="Arial" w:cs="Arial"/>
          <w:sz w:val="20"/>
        </w:rPr>
        <w:t>تودع المتحصلات والشيكات دون تأخير وفق الإجراء، ولا تستخدم مباشرة للصرف قبل إثباتها وإيداعها.</w:t>
      </w:r>
    </w:p>
    <w:p>
      <w:pPr>
        <w:pStyle w:val="ListBullet"/>
        <w:spacing w:after="40"/>
        <w:ind w:left="288" w:right="360"/>
        <w:jc w:val="right"/>
        <w:bidi w:val="1"/>
      </w:pPr>
      <w:r>
        <w:rPr>
          <w:rFonts w:ascii="Arial" w:hAnsi="Arial" w:cs="Arial"/>
          <w:sz w:val="20"/>
        </w:rPr>
        <w:t>يفصل بين مستلم النقد ومصدر الإيصال والمسجل والمطابق قدر الإمكان.</w:t>
      </w:r>
    </w:p>
    <w:p>
      <w:pPr>
        <w:pStyle w:val="ListBullet"/>
        <w:spacing w:after="40"/>
        <w:ind w:left="288" w:right="360"/>
        <w:jc w:val="right"/>
        <w:bidi w:val="1"/>
      </w:pPr>
      <w:r>
        <w:rPr>
          <w:rFonts w:ascii="Arial" w:hAnsi="Arial" w:cs="Arial"/>
          <w:sz w:val="20"/>
        </w:rPr>
        <w:t>تطابق قنوات الدفع والإيصالات والتقارير البنكية يوميًا أو دوريًا بحسب حجم النشاط.</w:t>
      </w:r>
    </w:p>
    <w:p>
      <w:pPr>
        <w:pStyle w:val="ListBullet"/>
        <w:spacing w:after="40"/>
        <w:ind w:left="288" w:right="360"/>
        <w:jc w:val="right"/>
        <w:bidi w:val="1"/>
      </w:pPr>
      <w:r>
        <w:rPr>
          <w:rFonts w:ascii="Arial" w:hAnsi="Arial" w:cs="Arial"/>
          <w:sz w:val="20"/>
        </w:rPr>
        <w:t>تتحقق الوحدة المالية من القيود المانحة والتبرعات المشروطة وتصنيفها قبل الاستخدام.</w:t>
      </w:r>
    </w:p>
    <w:p>
      <w:pPr>
        <w:pStyle w:val="ListBullet"/>
        <w:spacing w:after="40"/>
        <w:ind w:left="288" w:right="360"/>
        <w:jc w:val="right"/>
        <w:bidi w:val="1"/>
      </w:pPr>
      <w:r>
        <w:rPr>
          <w:rFonts w:ascii="Arial" w:hAnsi="Arial" w:cs="Arial"/>
          <w:sz w:val="20"/>
        </w:rPr>
        <w:t>تطبق سياسة جمع التبرعات وضوابط مكافحة غسل الأموال على القنوات والمتبرعين والمعاملات.</w:t>
      </w:r>
    </w:p>
    <w:p>
      <w:pPr>
        <w:pStyle w:val="Heading2"/>
        <w:jc w:val="right"/>
        <w:keepNext/>
        <w:bidi w:val="1"/>
      </w:pPr>
      <w:r>
        <w:rPr>
          <w:rFonts w:ascii="Arial" w:hAnsi="Arial" w:cs="Arial"/>
        </w:rPr>
        <w:t>20. المبالغ المرتجعة والمردودات</w:t>
      </w:r>
    </w:p>
    <w:p>
      <w:pPr>
        <w:pStyle w:val="ListBullet"/>
        <w:spacing w:after="40"/>
        <w:ind w:left="288" w:right="360"/>
        <w:jc w:val="right"/>
        <w:bidi w:val="1"/>
      </w:pPr>
      <w:r>
        <w:rPr>
          <w:rFonts w:ascii="Arial" w:hAnsi="Arial" w:cs="Arial"/>
          <w:sz w:val="20"/>
        </w:rPr>
        <w:t>لا ترد مبالغ إلا إلى المصدر الأصلي وبذات القناة قدر الإمكان وبعد التحقق من السبب والهوية والصلاحية.</w:t>
      </w:r>
    </w:p>
    <w:p>
      <w:pPr>
        <w:pStyle w:val="ListBullet"/>
        <w:spacing w:after="40"/>
        <w:ind w:left="288" w:right="360"/>
        <w:jc w:val="right"/>
        <w:bidi w:val="1"/>
      </w:pPr>
      <w:r>
        <w:rPr>
          <w:rFonts w:ascii="Arial" w:hAnsi="Arial" w:cs="Arial"/>
          <w:sz w:val="20"/>
        </w:rPr>
        <w:t>لا تستخدم المردودات لتحويل المال إلى طرف ثالث أو حساب مختلف دون مسوغ نظامي وتحقيق مستقل.</w:t>
      </w:r>
    </w:p>
    <w:p>
      <w:pPr>
        <w:pStyle w:val="ListBullet"/>
        <w:spacing w:after="40"/>
        <w:ind w:left="288" w:right="360"/>
        <w:jc w:val="right"/>
        <w:bidi w:val="1"/>
      </w:pPr>
      <w:r>
        <w:rPr>
          <w:rFonts w:ascii="Arial" w:hAnsi="Arial" w:cs="Arial"/>
          <w:sz w:val="20"/>
        </w:rPr>
        <w:t>يعد إشعار دائن أو سند رد، ويربط بالتحصيل الأصلي ويعتمد وفق السقف.</w:t>
      </w:r>
    </w:p>
    <w:p>
      <w:pPr>
        <w:pStyle w:val="ListBullet"/>
        <w:spacing w:after="40"/>
        <w:ind w:left="288" w:right="360"/>
        <w:jc w:val="right"/>
        <w:bidi w:val="1"/>
      </w:pPr>
      <w:r>
        <w:rPr>
          <w:rFonts w:ascii="Arial" w:hAnsi="Arial" w:cs="Arial"/>
          <w:sz w:val="20"/>
        </w:rPr>
        <w:t>تراجع الحالات المتكررة أو غير المعتادة كإشارات خطر وتبلغ جهة الالتزام عند الاشتباه.</w:t>
      </w:r>
    </w:p>
    <w:p>
      <w:pPr>
        <w:pStyle w:val="Heading1"/>
        <w:jc w:val="right"/>
        <w:keepNext/>
        <w:bidi w:val="1"/>
      </w:pPr>
      <w:r>
        <w:rPr>
          <w:rFonts w:ascii="Arial" w:hAnsi="Arial" w:cs="Arial"/>
        </w:rPr>
        <w:t>الباب السادس: الحسابات البنكية والنقدية</w:t>
      </w:r>
    </w:p>
    <w:p>
      <w:pPr>
        <w:pStyle w:val="Heading2"/>
        <w:jc w:val="right"/>
        <w:keepNext/>
        <w:bidi w:val="1"/>
      </w:pPr>
      <w:r>
        <w:rPr>
          <w:rFonts w:ascii="Arial" w:hAnsi="Arial" w:cs="Arial"/>
        </w:rPr>
        <w:t>21. فتح الحسابات وإدارتها</w:t>
      </w:r>
    </w:p>
    <w:p>
      <w:pPr>
        <w:pStyle w:val="ListBullet"/>
        <w:spacing w:after="40"/>
        <w:ind w:left="288" w:right="360"/>
        <w:jc w:val="right"/>
        <w:bidi w:val="1"/>
      </w:pPr>
      <w:r>
        <w:rPr>
          <w:rFonts w:ascii="Arial" w:hAnsi="Arial" w:cs="Arial"/>
          <w:sz w:val="20"/>
        </w:rPr>
        <w:t>تفتح الحسابات باسم الجمعية لدى البنوك والمصارف السعودية بقرار مجلس الإدارة وبعد استكمال موافقات المركز أو المتطلبات النافذة.</w:t>
      </w:r>
    </w:p>
    <w:p>
      <w:pPr>
        <w:pStyle w:val="ListBullet"/>
        <w:spacing w:after="40"/>
        <w:ind w:left="288" w:right="360"/>
        <w:jc w:val="right"/>
        <w:bidi w:val="1"/>
      </w:pPr>
      <w:r>
        <w:rPr>
          <w:rFonts w:ascii="Arial" w:hAnsi="Arial" w:cs="Arial"/>
          <w:sz w:val="20"/>
        </w:rPr>
        <w:t>تكون التعاملات البنكية بتوقيع مشترك من رئيس مجلس الإدارة ونائبه وفق اللائحة التنفيذية، ويجوز التفويض لاثنين أو أكثر من أعضاء المجلس، أو لشاغلي الوظائف القيادية بعد موافقة المركز، على أن يبقى التوقيع مشتركًا.</w:t>
      </w:r>
    </w:p>
    <w:p>
      <w:pPr>
        <w:pStyle w:val="ListBullet"/>
        <w:spacing w:after="40"/>
        <w:ind w:left="288" w:right="360"/>
        <w:jc w:val="right"/>
        <w:bidi w:val="1"/>
      </w:pPr>
      <w:r>
        <w:rPr>
          <w:rFonts w:ascii="Arial" w:hAnsi="Arial" w:cs="Arial"/>
          <w:sz w:val="20"/>
        </w:rPr>
        <w:t>لا يفتح أو يغلق أو يجمد أو ينشط حساب، ولا يغير مخول أو حد، إلا بقرار ووثائق وتحديث سجل الحسابات.</w:t>
      </w:r>
    </w:p>
    <w:p>
      <w:pPr>
        <w:pStyle w:val="ListBullet"/>
        <w:spacing w:after="40"/>
        <w:ind w:left="288" w:right="360"/>
        <w:jc w:val="right"/>
        <w:bidi w:val="1"/>
      </w:pPr>
      <w:r>
        <w:rPr>
          <w:rFonts w:ascii="Arial" w:hAnsi="Arial" w:cs="Arial"/>
          <w:sz w:val="20"/>
        </w:rPr>
        <w:t>تحدد صلاحيات الاستعلام والإدخال والموافقة البنكية منفصلة قدر الإمكان، وتراجع دوريًا وعند تغير شاغل الوظيفة.</w:t>
      </w:r>
    </w:p>
    <w:p>
      <w:pPr>
        <w:pStyle w:val="ListBullet"/>
        <w:spacing w:after="40"/>
        <w:ind w:left="288" w:right="360"/>
        <w:jc w:val="right"/>
        <w:bidi w:val="1"/>
      </w:pPr>
      <w:r>
        <w:rPr>
          <w:rFonts w:ascii="Arial" w:hAnsi="Arial" w:cs="Arial"/>
          <w:sz w:val="20"/>
        </w:rPr>
        <w:t>يحظر مشاركة الرموز أو كلمات المرور أو الأجهزة المخصصة للاعتماد، ويبلغ عن الفقد أو الاشتباه فورًا.</w:t>
      </w:r>
    </w:p>
    <w:p>
      <w:pPr>
        <w:pStyle w:val="ListBullet"/>
        <w:spacing w:after="40"/>
        <w:ind w:left="288" w:right="360"/>
        <w:jc w:val="right"/>
        <w:bidi w:val="1"/>
      </w:pPr>
      <w:r>
        <w:rPr>
          <w:rFonts w:ascii="Arial" w:hAnsi="Arial" w:cs="Arial"/>
          <w:sz w:val="20"/>
        </w:rPr>
        <w:t>تحتفظ الوحدة المالية بسجل داخلي للحسابات والمخولين والحدود والقرارات، ولا ينشر للعامة.</w:t>
      </w:r>
    </w:p>
    <w:p>
      <w:pPr>
        <w:pStyle w:val="Heading2"/>
        <w:jc w:val="right"/>
        <w:keepNext/>
        <w:bidi w:val="1"/>
      </w:pPr>
      <w:r>
        <w:rPr>
          <w:rFonts w:ascii="Arial" w:hAnsi="Arial" w:cs="Arial"/>
        </w:rPr>
        <w:t>22. التسويات البنكية</w:t>
      </w:r>
    </w:p>
    <w:p>
      <w:pPr>
        <w:spacing w:after="60"/>
        <w:ind w:right="288" w:hanging="288"/>
        <w:jc w:val="right"/>
        <w:bidi w:val="1"/>
      </w:pPr>
      <w:r>
        <w:rPr>
          <w:rFonts w:ascii="Arial" w:hAnsi="Arial" w:cs="Arial"/>
          <w:sz w:val="20"/>
        </w:rPr>
        <w:t>1. تستخرج الكشوف مباشرة من البنك أو القناة المعتمدة.</w:t>
      </w:r>
    </w:p>
    <w:p>
      <w:pPr>
        <w:spacing w:after="60"/>
        <w:ind w:right="288" w:hanging="288"/>
        <w:jc w:val="right"/>
        <w:bidi w:val="1"/>
      </w:pPr>
      <w:r>
        <w:rPr>
          <w:rFonts w:ascii="Arial" w:hAnsi="Arial" w:cs="Arial"/>
          <w:sz w:val="20"/>
        </w:rPr>
        <w:t>2. تعد تسوية شهرية لكل حساب وتقارن الرصيد البنكي بالدفتر.</w:t>
      </w:r>
    </w:p>
    <w:p>
      <w:pPr>
        <w:spacing w:after="60"/>
        <w:ind w:right="288" w:hanging="288"/>
        <w:jc w:val="right"/>
        <w:bidi w:val="1"/>
      </w:pPr>
      <w:r>
        <w:rPr>
          <w:rFonts w:ascii="Arial" w:hAnsi="Arial" w:cs="Arial"/>
          <w:sz w:val="20"/>
        </w:rPr>
        <w:t>3. تحصر الشيكات والتحويلات المعلقة والإيداعات بالطريق والرسوم والفوائد والأخطاء.</w:t>
      </w:r>
    </w:p>
    <w:p>
      <w:pPr>
        <w:spacing w:after="60"/>
        <w:ind w:right="288" w:hanging="288"/>
        <w:jc w:val="right"/>
        <w:bidi w:val="1"/>
      </w:pPr>
      <w:r>
        <w:rPr>
          <w:rFonts w:ascii="Arial" w:hAnsi="Arial" w:cs="Arial"/>
          <w:sz w:val="20"/>
        </w:rPr>
        <w:t>4. يفحص مُعدّ مستقل نسبيًا المستندات ويقترح قيود التصحيح.</w:t>
      </w:r>
    </w:p>
    <w:p>
      <w:pPr>
        <w:spacing w:after="60"/>
        <w:ind w:right="288" w:hanging="288"/>
        <w:jc w:val="right"/>
        <w:bidi w:val="1"/>
      </w:pPr>
      <w:r>
        <w:rPr>
          <w:rFonts w:ascii="Arial" w:hAnsi="Arial" w:cs="Arial"/>
          <w:sz w:val="20"/>
        </w:rPr>
        <w:t>5. تراجع التسوية وتعتمد من مسؤول غير منفذ للدفع قدر الإمكان.</w:t>
      </w:r>
    </w:p>
    <w:p>
      <w:pPr>
        <w:spacing w:after="60"/>
        <w:ind w:right="288" w:hanging="288"/>
        <w:jc w:val="right"/>
        <w:bidi w:val="1"/>
      </w:pPr>
      <w:r>
        <w:rPr>
          <w:rFonts w:ascii="Arial" w:hAnsi="Arial" w:cs="Arial"/>
          <w:sz w:val="20"/>
        </w:rPr>
        <w:t>6. تصعد البنود القديمة أو غير المبررة ولا ترحل تلقائيًا من شهر لآخر.</w:t>
      </w:r>
    </w:p>
    <w:p>
      <w:pPr>
        <w:pStyle w:val="Heading2"/>
        <w:jc w:val="right"/>
        <w:keepNext/>
        <w:bidi w:val="1"/>
      </w:pPr>
      <w:r>
        <w:rPr>
          <w:rFonts w:ascii="Arial" w:hAnsi="Arial" w:cs="Arial"/>
        </w:rPr>
        <w:t>23. الصندوق والنقد</w:t>
      </w:r>
    </w:p>
    <w:p>
      <w:pPr>
        <w:pStyle w:val="ListBullet"/>
        <w:spacing w:after="40"/>
        <w:ind w:left="288" w:right="360"/>
        <w:jc w:val="right"/>
        <w:bidi w:val="1"/>
      </w:pPr>
      <w:r>
        <w:rPr>
          <w:rFonts w:ascii="Arial" w:hAnsi="Arial" w:cs="Arial"/>
          <w:sz w:val="20"/>
        </w:rPr>
        <w:t>الأصل استخدام التحويلات والقنوات البنكية، ويقيد النقد في أضيق نطاق لحاجة تشغيلية معتمدة.</w:t>
      </w:r>
    </w:p>
    <w:p>
      <w:pPr>
        <w:pStyle w:val="ListBullet"/>
        <w:spacing w:after="40"/>
        <w:ind w:left="288" w:right="360"/>
        <w:jc w:val="right"/>
        <w:bidi w:val="1"/>
      </w:pPr>
      <w:r>
        <w:rPr>
          <w:rFonts w:ascii="Arial" w:hAnsi="Arial" w:cs="Arial"/>
          <w:sz w:val="20"/>
        </w:rPr>
        <w:t>يحدد حد الصندوق والعهدة الدائمة في المصفوفة أو قرار مستقل، ولا يجزأ الصرف لتجاوز الحد.</w:t>
      </w:r>
    </w:p>
    <w:p>
      <w:pPr>
        <w:pStyle w:val="ListBullet"/>
        <w:spacing w:after="40"/>
        <w:ind w:left="288" w:right="360"/>
        <w:jc w:val="right"/>
        <w:bidi w:val="1"/>
      </w:pPr>
      <w:r>
        <w:rPr>
          <w:rFonts w:ascii="Arial" w:hAnsi="Arial" w:cs="Arial"/>
          <w:sz w:val="20"/>
        </w:rPr>
        <w:t>تجرى جردات مفاجئة ودورية بمحضر، ويحقق في العجز أو الزيادة فورًا.</w:t>
      </w:r>
    </w:p>
    <w:p>
      <w:pPr>
        <w:pStyle w:val="ListBullet"/>
        <w:spacing w:after="40"/>
        <w:ind w:left="288" w:right="360"/>
        <w:jc w:val="right"/>
        <w:bidi w:val="1"/>
      </w:pPr>
      <w:r>
        <w:rPr>
          <w:rFonts w:ascii="Arial" w:hAnsi="Arial" w:cs="Arial"/>
          <w:sz w:val="20"/>
        </w:rPr>
        <w:t>يحفظ النقد والشيكات والأختام في خزينة بصلاحية وصول محددة، ويفصل بين المفتاح أو الرمز عند الإمكان.</w:t>
      </w:r>
    </w:p>
    <w:p>
      <w:pPr>
        <w:pStyle w:val="ListBullet"/>
        <w:spacing w:after="40"/>
        <w:ind w:left="288" w:right="360"/>
        <w:jc w:val="right"/>
        <w:bidi w:val="1"/>
      </w:pPr>
      <w:r>
        <w:rPr>
          <w:rFonts w:ascii="Arial" w:hAnsi="Arial" w:cs="Arial"/>
          <w:sz w:val="20"/>
        </w:rPr>
        <w:t>لا تستخدم متحصلات اليوم لتغذية الصندوق إلا بعد الإيداع والإثبات ومسار الصرف.</w:t>
      </w:r>
    </w:p>
    <w:p>
      <w:pPr>
        <w:pStyle w:val="Heading1"/>
        <w:jc w:val="right"/>
        <w:keepNext/>
        <w:bidi w:val="1"/>
      </w:pPr>
      <w:r>
        <w:rPr>
          <w:rFonts w:ascii="Arial" w:hAnsi="Arial" w:cs="Arial"/>
        </w:rPr>
        <w:t>الباب السابع: المشتريات والالتزامات والمدفوعات</w:t>
      </w:r>
    </w:p>
    <w:p>
      <w:pPr>
        <w:pStyle w:val="Heading2"/>
        <w:jc w:val="right"/>
        <w:keepNext/>
        <w:bidi w:val="1"/>
      </w:pPr>
      <w:r>
        <w:rPr>
          <w:rFonts w:ascii="Arial" w:hAnsi="Arial" w:cs="Arial"/>
        </w:rPr>
        <w:t>24. دورة الشراء والالتزام</w:t>
      </w:r>
    </w:p>
    <w:p>
      <w:pPr>
        <w:spacing w:after="60"/>
        <w:ind w:right="288" w:hanging="288"/>
        <w:jc w:val="right"/>
        <w:bidi w:val="1"/>
      </w:pPr>
      <w:r>
        <w:rPr>
          <w:rFonts w:ascii="Arial" w:hAnsi="Arial" w:cs="Arial"/>
          <w:sz w:val="20"/>
        </w:rPr>
        <w:t>1. طلب احتياج مع وصف ومبرر وميزانية ومركز تكلفة.</w:t>
      </w:r>
    </w:p>
    <w:p>
      <w:pPr>
        <w:spacing w:after="60"/>
        <w:ind w:right="288" w:hanging="288"/>
        <w:jc w:val="right"/>
        <w:bidi w:val="1"/>
      </w:pPr>
      <w:r>
        <w:rPr>
          <w:rFonts w:ascii="Arial" w:hAnsi="Arial" w:cs="Arial"/>
          <w:sz w:val="20"/>
        </w:rPr>
        <w:t>2. اختيار طريقة الشراء والمنافسة وفق سياسة المشتريات والسقف وتعارض المصالح.</w:t>
      </w:r>
    </w:p>
    <w:p>
      <w:pPr>
        <w:spacing w:after="60"/>
        <w:ind w:right="288" w:hanging="288"/>
        <w:jc w:val="right"/>
        <w:bidi w:val="1"/>
      </w:pPr>
      <w:r>
        <w:rPr>
          <w:rFonts w:ascii="Arial" w:hAnsi="Arial" w:cs="Arial"/>
          <w:sz w:val="20"/>
        </w:rPr>
        <w:t>3. تقييم فني ومالي موثق واعتماد الترسية من صاحب الصلاحية.</w:t>
      </w:r>
    </w:p>
    <w:p>
      <w:pPr>
        <w:spacing w:after="60"/>
        <w:ind w:right="288" w:hanging="288"/>
        <w:jc w:val="right"/>
        <w:bidi w:val="1"/>
      </w:pPr>
      <w:r>
        <w:rPr>
          <w:rFonts w:ascii="Arial" w:hAnsi="Arial" w:cs="Arial"/>
          <w:sz w:val="20"/>
        </w:rPr>
        <w:t>4. إصدار أمر شراء أو عقد قبل التوريد، وتسجيل الارتباط المالي.</w:t>
      </w:r>
    </w:p>
    <w:p>
      <w:pPr>
        <w:spacing w:after="60"/>
        <w:ind w:right="288" w:hanging="288"/>
        <w:jc w:val="right"/>
        <w:bidi w:val="1"/>
      </w:pPr>
      <w:r>
        <w:rPr>
          <w:rFonts w:ascii="Arial" w:hAnsi="Arial" w:cs="Arial"/>
          <w:sz w:val="20"/>
        </w:rPr>
        <w:t>5. استلام مستقل وتوثيق الكمية والجودة والخدمة والملاحظات.</w:t>
      </w:r>
    </w:p>
    <w:p>
      <w:pPr>
        <w:spacing w:after="60"/>
        <w:ind w:right="288" w:hanging="288"/>
        <w:jc w:val="right"/>
        <w:bidi w:val="1"/>
      </w:pPr>
      <w:r>
        <w:rPr>
          <w:rFonts w:ascii="Arial" w:hAnsi="Arial" w:cs="Arial"/>
          <w:sz w:val="20"/>
        </w:rPr>
        <w:t>6. مطابقة أمر الشراء أو العقد مع الاستلام والفاتورة قبل الاستحقاق.</w:t>
      </w:r>
    </w:p>
    <w:p>
      <w:pPr>
        <w:spacing w:after="60"/>
        <w:ind w:right="288" w:hanging="288"/>
        <w:jc w:val="right"/>
        <w:bidi w:val="1"/>
      </w:pPr>
      <w:r>
        <w:rPr>
          <w:rFonts w:ascii="Arial" w:hAnsi="Arial" w:cs="Arial"/>
          <w:sz w:val="20"/>
        </w:rPr>
        <w:t>7. مراجعة الاعتماد والضريبة والحساب البنكي للمستفيد ثم تنفيذ الدفع.</w:t>
      </w:r>
    </w:p>
    <w:p>
      <w:pPr>
        <w:spacing w:after="60"/>
        <w:ind w:right="288" w:hanging="288"/>
        <w:jc w:val="right"/>
        <w:bidi w:val="1"/>
      </w:pPr>
      <w:r>
        <w:rPr>
          <w:rFonts w:ascii="Arial" w:hAnsi="Arial" w:cs="Arial"/>
          <w:sz w:val="20"/>
        </w:rPr>
        <w:t>8. تسجيل العملية وختم المستند إلكترونيًا أو ورقيًا بما يمنع تكرار الصرف.</w:t>
      </w:r>
    </w:p>
    <w:p>
      <w:pPr>
        <w:pStyle w:val="Heading2"/>
        <w:jc w:val="right"/>
        <w:keepNext/>
        <w:bidi w:val="1"/>
      </w:pPr>
      <w:r>
        <w:rPr>
          <w:rFonts w:ascii="Arial" w:hAnsi="Arial" w:cs="Arial"/>
        </w:rPr>
        <w:t>25. متطلبات الصرف</w:t>
      </w:r>
    </w:p>
    <w:tbl>
      <w:tblPr>
        <w:tblStyle w:val="TableGrid"/>
        <w:tblW w:type="dxa" w:w="8500"/>
        <w:jc w:val="center"/>
        <w:tblLayout w:type="fixed"/>
        <w:tblLook w:firstColumn="1" w:firstRow="1" w:lastColumn="0" w:lastRow="0" w:noHBand="0" w:noVBand="1" w:val="04A0"/>
        <w:tblInd w:w="0" w:type="dxa"/>
        <w:bidiVisual/>
      </w:tblPr>
      <w:tblGrid>
        <w:gridCol w:w="2000"/>
        <w:gridCol w:w="3900"/>
        <w:gridCol w:w="2600"/>
      </w:tblGrid>
      <w:tr>
        <w:trPr>
          <w:tblHeader w:val="true"/>
          <w:cantSplit/>
        </w:trPr>
        <w:tc>
          <w:tcPr>
            <w:tcW w:type="dxa" w:w="20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المتطلب</w:t>
            </w:r>
          </w:p>
        </w:tc>
        <w:tc>
          <w:tcPr>
            <w:tcW w:type="dxa" w:w="3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الدليل</w:t>
            </w:r>
          </w:p>
        </w:tc>
        <w:tc>
          <w:tcPr>
            <w:tcW w:type="dxa" w:w="26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حالة الاستثناء</w:t>
            </w:r>
          </w:p>
        </w:tc>
      </w:tr>
      <w:tr>
        <w:trPr>
          <w:cantSplit/>
        </w:trPr>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الحاجة والميزانية</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6"/>
              </w:rPr>
              <w:t>طلب معتمد وبند ومركز تكلفة</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6"/>
              </w:rPr>
              <w:t>اعتماد إضافي أو مناقلة مسبقة</w:t>
            </w:r>
          </w:p>
        </w:tc>
      </w:tr>
      <w:tr>
        <w:trPr>
          <w:cantSplit/>
        </w:trPr>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التعاقد/الشراء</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6"/>
              </w:rPr>
              <w:t>عقد أو أمر شراء أو مسوغ شراء مباشر</w:t>
            </w:r>
          </w:p>
        </w:tc>
        <w:tc>
          <w:tcPr>
            <w:tcW w:type="dxa" w:w="2600"/>
            <w:shd w:fill="F2F4F5"/>
            <w:tcMar>
              <w:top w:w="90" w:type="dxa"/>
              <w:start w:w="110" w:type="dxa"/>
              <w:bottom w:w="90" w:type="dxa"/>
              <w:end w:w="110" w:type="dxa"/>
            </w:tcMar>
            <w:vAlign w:val="center"/>
          </w:tcPr>
          <w:p>
            <w:pPr>
              <w:spacing w:before="40" w:after="40"/>
              <w:jc w:val="right"/>
              <w:bidi w:val="1"/>
            </w:pPr>
            <w:r>
              <w:rPr>
                <w:rFonts w:ascii="Arial" w:hAnsi="Arial" w:cs="Arial"/>
                <w:sz w:val="16"/>
              </w:rPr>
              <w:t>مبرر واعتماد حسب السياسة</w:t>
            </w:r>
          </w:p>
        </w:tc>
      </w:tr>
      <w:tr>
        <w:trPr>
          <w:cantSplit/>
        </w:trPr>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الاستلام</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6"/>
              </w:rPr>
              <w:t>محضر أو تأكيد خدمة من مختص</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6"/>
              </w:rPr>
              <w:t>دفعة مقدمة بضمان وشروط واضحة</w:t>
            </w:r>
          </w:p>
        </w:tc>
      </w:tr>
      <w:tr>
        <w:trPr>
          <w:cantSplit/>
        </w:trPr>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المطالبة</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6"/>
              </w:rPr>
              <w:t>فاتورة نظامية أو مستند استحقاق</w:t>
            </w:r>
          </w:p>
        </w:tc>
        <w:tc>
          <w:tcPr>
            <w:tcW w:type="dxa" w:w="2600"/>
            <w:shd w:fill="F2F4F5"/>
            <w:tcMar>
              <w:top w:w="90" w:type="dxa"/>
              <w:start w:w="110" w:type="dxa"/>
              <w:bottom w:w="90" w:type="dxa"/>
              <w:end w:w="110" w:type="dxa"/>
            </w:tcMar>
            <w:vAlign w:val="center"/>
          </w:tcPr>
          <w:p>
            <w:pPr>
              <w:spacing w:before="40" w:after="40"/>
              <w:jc w:val="right"/>
              <w:bidi w:val="1"/>
            </w:pPr>
            <w:r>
              <w:rPr>
                <w:rFonts w:ascii="Arial" w:hAnsi="Arial" w:cs="Arial"/>
                <w:sz w:val="16"/>
              </w:rPr>
              <w:t>بدل فاقد موثق بعد تحقق عدم التكرار</w:t>
            </w:r>
          </w:p>
        </w:tc>
      </w:tr>
      <w:tr>
        <w:trPr>
          <w:cantSplit/>
        </w:trPr>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الاعتماد</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6"/>
              </w:rPr>
              <w:t>تسلسل وفق المصفوفة</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6"/>
              </w:rPr>
              <w:t>لا اعتماد بأثر رجعي إلا لتصحيح حالة طارئة موثقة</w:t>
            </w:r>
          </w:p>
        </w:tc>
      </w:tr>
      <w:tr>
        <w:trPr>
          <w:cantSplit/>
        </w:trPr>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بيانات المستفيد</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6"/>
              </w:rPr>
              <w:t>اسم وحساب مطابقان للعقد والفاتورة</w:t>
            </w:r>
          </w:p>
        </w:tc>
        <w:tc>
          <w:tcPr>
            <w:tcW w:type="dxa" w:w="2600"/>
            <w:shd w:fill="F2F4F5"/>
            <w:tcMar>
              <w:top w:w="90" w:type="dxa"/>
              <w:start w:w="110" w:type="dxa"/>
              <w:bottom w:w="90" w:type="dxa"/>
              <w:end w:w="110" w:type="dxa"/>
            </w:tcMar>
            <w:vAlign w:val="center"/>
          </w:tcPr>
          <w:p>
            <w:pPr>
              <w:spacing w:before="40" w:after="40"/>
              <w:jc w:val="right"/>
              <w:bidi w:val="1"/>
            </w:pPr>
            <w:r>
              <w:rPr>
                <w:rFonts w:ascii="Arial" w:hAnsi="Arial" w:cs="Arial"/>
                <w:sz w:val="16"/>
              </w:rPr>
              <w:t>تغيير مستقل التحقق من مصدره</w:t>
            </w:r>
          </w:p>
        </w:tc>
      </w:tr>
      <w:tr>
        <w:trPr>
          <w:cantSplit/>
        </w:trPr>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الضريبة/الاستقطاع</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6"/>
              </w:rPr>
              <w:t>معالجة نظامية عند الانطباق</w:t>
            </w:r>
          </w:p>
        </w:tc>
        <w:tc>
          <w:tcPr>
            <w:tcW w:type="dxa" w:w="2600"/>
            <w:tcMar>
              <w:top w:w="90" w:type="dxa"/>
              <w:start w:w="110" w:type="dxa"/>
              <w:bottom w:w="90" w:type="dxa"/>
              <w:end w:w="110" w:type="dxa"/>
            </w:tcMar>
            <w:vAlign w:val="center"/>
          </w:tcPr>
          <w:p>
            <w:pPr>
              <w:spacing w:before="40" w:after="40"/>
              <w:jc w:val="right"/>
              <w:bidi w:val="1"/>
            </w:pPr>
            <w:r>
              <w:rPr>
                <w:rFonts w:ascii="Arial" w:hAnsi="Arial" w:cs="Arial"/>
                <w:sz w:val="16"/>
              </w:rPr>
              <w:t>رأي مختص عند التعقيد</w:t>
            </w:r>
          </w:p>
        </w:tc>
      </w:tr>
    </w:tbl>
    <w:p>
      <w:pPr>
        <w:pStyle w:val="Heading2"/>
        <w:jc w:val="right"/>
        <w:keepNext/>
        <w:bidi w:val="1"/>
      </w:pPr>
      <w:r>
        <w:rPr>
          <w:rFonts w:ascii="Arial" w:hAnsi="Arial" w:cs="Arial"/>
        </w:rPr>
        <w:t>26. الدفعات المقدمة والضمانات</w:t>
      </w:r>
    </w:p>
    <w:p>
      <w:pPr>
        <w:pStyle w:val="ListBullet"/>
        <w:spacing w:after="40"/>
        <w:ind w:left="288" w:right="360"/>
        <w:jc w:val="right"/>
        <w:bidi w:val="1"/>
      </w:pPr>
      <w:r>
        <w:rPr>
          <w:rFonts w:ascii="Arial" w:hAnsi="Arial" w:cs="Arial"/>
          <w:sz w:val="20"/>
        </w:rPr>
        <w:t>لا تدفع مقدمة إلا إذا نص العقد واعتمدت وكانت ضرورية ومتناسبة مع المخاطر.</w:t>
      </w:r>
    </w:p>
    <w:p>
      <w:pPr>
        <w:pStyle w:val="ListBullet"/>
        <w:spacing w:after="40"/>
        <w:ind w:left="288" w:right="360"/>
        <w:jc w:val="right"/>
        <w:bidi w:val="1"/>
      </w:pPr>
      <w:r>
        <w:rPr>
          <w:rFonts w:ascii="Arial" w:hAnsi="Arial" w:cs="Arial"/>
          <w:sz w:val="20"/>
        </w:rPr>
        <w:t>تطلب ضمانات أو مراحل تسليم أو احتجاز نسبة عندما تبرر قيمة العقد ومخاطره ذلك.</w:t>
      </w:r>
    </w:p>
    <w:p>
      <w:pPr>
        <w:pStyle w:val="ListBullet"/>
        <w:spacing w:after="40"/>
        <w:ind w:left="288" w:right="360"/>
        <w:jc w:val="right"/>
        <w:bidi w:val="1"/>
      </w:pPr>
      <w:r>
        <w:rPr>
          <w:rFonts w:ascii="Arial" w:hAnsi="Arial" w:cs="Arial"/>
          <w:sz w:val="20"/>
        </w:rPr>
        <w:t>تسجل الدفعة المقدمة كأصل وتسوى على الفواتير الفعلية، وتتابع أعمارها شهريًا.</w:t>
      </w:r>
    </w:p>
    <w:p>
      <w:pPr>
        <w:pStyle w:val="ListBullet"/>
        <w:spacing w:after="40"/>
        <w:ind w:left="288" w:right="360"/>
        <w:jc w:val="right"/>
        <w:bidi w:val="1"/>
      </w:pPr>
      <w:r>
        <w:rPr>
          <w:rFonts w:ascii="Arial" w:hAnsi="Arial" w:cs="Arial"/>
          <w:sz w:val="20"/>
        </w:rPr>
        <w:t>لا تدفع الدفعة النهائية قبل الاستلام النهائي وإقفال العهد والملاحظات والالتزامات التعاقدية.</w:t>
      </w:r>
    </w:p>
    <w:p>
      <w:pPr>
        <w:pStyle w:val="Heading2"/>
        <w:jc w:val="right"/>
        <w:keepNext/>
        <w:bidi w:val="1"/>
      </w:pPr>
      <w:r>
        <w:rPr>
          <w:rFonts w:ascii="Arial" w:hAnsi="Arial" w:cs="Arial"/>
        </w:rPr>
        <w:t>27. الرواتب والمستحقات</w:t>
      </w:r>
    </w:p>
    <w:p>
      <w:pPr>
        <w:pStyle w:val="ListBullet"/>
        <w:spacing w:after="40"/>
        <w:ind w:left="288" w:right="360"/>
        <w:jc w:val="right"/>
        <w:bidi w:val="1"/>
      </w:pPr>
      <w:r>
        <w:rPr>
          <w:rFonts w:ascii="Arial" w:hAnsi="Arial" w:cs="Arial"/>
          <w:sz w:val="20"/>
        </w:rPr>
        <w:t>تعتمد بيانات الموظف والعقد والراتب والتغيير من الموارد البشرية وصاحب الصلاحية قبل الإدخال.</w:t>
      </w:r>
    </w:p>
    <w:p>
      <w:pPr>
        <w:pStyle w:val="ListBullet"/>
        <w:spacing w:after="40"/>
        <w:ind w:left="288" w:right="360"/>
        <w:jc w:val="right"/>
        <w:bidi w:val="1"/>
      </w:pPr>
      <w:r>
        <w:rPr>
          <w:rFonts w:ascii="Arial" w:hAnsi="Arial" w:cs="Arial"/>
          <w:sz w:val="20"/>
        </w:rPr>
        <w:t>تفصل الموارد البشرية بين إعداد التغيير والوحدة المالية التي تحتسب وتدفع، مع مراجعة كشف الرواتب.</w:t>
      </w:r>
    </w:p>
    <w:p>
      <w:pPr>
        <w:pStyle w:val="ListBullet"/>
        <w:spacing w:after="40"/>
        <w:ind w:left="288" w:right="360"/>
        <w:jc w:val="right"/>
        <w:bidi w:val="1"/>
      </w:pPr>
      <w:r>
        <w:rPr>
          <w:rFonts w:ascii="Arial" w:hAnsi="Arial" w:cs="Arial"/>
          <w:sz w:val="20"/>
        </w:rPr>
        <w:t>تطابق الحضور والإجازات والبدلات والاستقطاعات والتأمينات والالتزامات النظامية عند الانطباق.</w:t>
      </w:r>
    </w:p>
    <w:p>
      <w:pPr>
        <w:pStyle w:val="ListBullet"/>
        <w:spacing w:after="40"/>
        <w:ind w:left="288" w:right="360"/>
        <w:jc w:val="right"/>
        <w:bidi w:val="1"/>
      </w:pPr>
      <w:r>
        <w:rPr>
          <w:rFonts w:ascii="Arial" w:hAnsi="Arial" w:cs="Arial"/>
          <w:sz w:val="20"/>
        </w:rPr>
        <w:t>يعتمد ملف التحويل من صاحب الصلاحية، ويقارن إجمالي البنك بإجمالي الكشف والقيود.</w:t>
      </w:r>
    </w:p>
    <w:p>
      <w:pPr>
        <w:pStyle w:val="ListBullet"/>
        <w:spacing w:after="40"/>
        <w:ind w:left="288" w:right="360"/>
        <w:jc w:val="right"/>
        <w:bidi w:val="1"/>
      </w:pPr>
      <w:r>
        <w:rPr>
          <w:rFonts w:ascii="Arial" w:hAnsi="Arial" w:cs="Arial"/>
          <w:sz w:val="20"/>
        </w:rPr>
        <w:t>توقف صلاحية الموظف المنتهي وتسوّى مستحقاته وفق النظام والعقد بعد إخلاء الطرف.</w:t>
      </w:r>
    </w:p>
    <w:p>
      <w:pPr>
        <w:pStyle w:val="Heading1"/>
        <w:jc w:val="right"/>
        <w:keepNext/>
        <w:bidi w:val="1"/>
      </w:pPr>
      <w:r>
        <w:rPr>
          <w:rFonts w:ascii="Arial" w:hAnsi="Arial" w:cs="Arial"/>
        </w:rPr>
        <w:t>الباب الثامن: السلف والعهد والمصروفات</w:t>
      </w:r>
    </w:p>
    <w:p>
      <w:pPr>
        <w:pStyle w:val="Heading2"/>
        <w:jc w:val="right"/>
        <w:keepNext/>
        <w:bidi w:val="1"/>
      </w:pPr>
      <w:r>
        <w:rPr>
          <w:rFonts w:ascii="Arial" w:hAnsi="Arial" w:cs="Arial"/>
        </w:rPr>
        <w:t>28. العهد المؤقتة</w:t>
      </w:r>
    </w:p>
    <w:p>
      <w:pPr>
        <w:pStyle w:val="ListBullet"/>
        <w:spacing w:after="40"/>
        <w:ind w:left="288" w:right="360"/>
        <w:jc w:val="right"/>
        <w:bidi w:val="1"/>
      </w:pPr>
      <w:r>
        <w:rPr>
          <w:rFonts w:ascii="Arial" w:hAnsi="Arial" w:cs="Arial"/>
          <w:sz w:val="20"/>
        </w:rPr>
        <w:t>تصرف لمهمة محددة لا يمكن تنفيذها بالطريقة المعتادة، وبمبلغ ومدة وغرض ومركز تكلفة معتمد.</w:t>
      </w:r>
    </w:p>
    <w:p>
      <w:pPr>
        <w:pStyle w:val="ListBullet"/>
        <w:spacing w:after="40"/>
        <w:ind w:left="288" w:right="360"/>
        <w:jc w:val="right"/>
        <w:bidi w:val="1"/>
      </w:pPr>
      <w:r>
        <w:rPr>
          <w:rFonts w:ascii="Arial" w:hAnsi="Arial" w:cs="Arial"/>
          <w:sz w:val="20"/>
        </w:rPr>
        <w:t>لا تصرف عهدة جديدة لمن لديه عهدة مستحقة غير مسواة إلا بموافقة مبررة من مستوى أعلى.</w:t>
      </w:r>
    </w:p>
    <w:p>
      <w:pPr>
        <w:pStyle w:val="ListBullet"/>
        <w:spacing w:after="40"/>
        <w:ind w:left="288" w:right="360"/>
        <w:jc w:val="right"/>
        <w:bidi w:val="1"/>
      </w:pPr>
      <w:r>
        <w:rPr>
          <w:rFonts w:ascii="Arial" w:hAnsi="Arial" w:cs="Arial"/>
          <w:sz w:val="20"/>
        </w:rPr>
        <w:t>يحظر استخدام العهدة لغير الغرض أو إقراضها أو تجزئة فواتيرها أو دفع مكافأة شخصية غير معتمدة.</w:t>
      </w:r>
    </w:p>
    <w:p>
      <w:pPr>
        <w:pStyle w:val="ListBullet"/>
        <w:spacing w:after="40"/>
        <w:ind w:left="288" w:right="360"/>
        <w:jc w:val="right"/>
        <w:bidi w:val="1"/>
      </w:pPr>
      <w:r>
        <w:rPr>
          <w:rFonts w:ascii="Arial" w:hAnsi="Arial" w:cs="Arial"/>
          <w:sz w:val="20"/>
        </w:rPr>
        <w:t>تسوى خلال عشرة أيام عمل من انتهاء الغرض أو قبل إقفال الفترة - أيهما أسبق - ما لم يحدد القرار مدة أقصر.</w:t>
      </w:r>
    </w:p>
    <w:p>
      <w:pPr>
        <w:pStyle w:val="ListBullet"/>
        <w:spacing w:after="40"/>
        <w:ind w:left="288" w:right="360"/>
        <w:jc w:val="right"/>
        <w:bidi w:val="1"/>
      </w:pPr>
      <w:r>
        <w:rPr>
          <w:rFonts w:ascii="Arial" w:hAnsi="Arial" w:cs="Arial"/>
          <w:sz w:val="20"/>
        </w:rPr>
        <w:t>يرد الرصيد غير المستخدم إلى حساب الجمعية، وتراجع المستندات وتعالج المصروفات غير المقبولة على مسؤولية المستلم.</w:t>
      </w:r>
    </w:p>
    <w:p>
      <w:pPr>
        <w:pStyle w:val="ListBullet"/>
        <w:spacing w:after="40"/>
        <w:ind w:left="288" w:right="360"/>
        <w:jc w:val="right"/>
        <w:bidi w:val="1"/>
      </w:pPr>
      <w:r>
        <w:rPr>
          <w:rFonts w:ascii="Arial" w:hAnsi="Arial" w:cs="Arial"/>
          <w:sz w:val="20"/>
        </w:rPr>
        <w:t>ترفع أعمار العهد شهريًا، ويوقف الصرف ويسترد المبلغ عند التأخر دون مسوغ.</w:t>
      </w:r>
    </w:p>
    <w:p>
      <w:pPr>
        <w:pStyle w:val="Heading2"/>
        <w:jc w:val="right"/>
        <w:keepNext/>
        <w:bidi w:val="1"/>
      </w:pPr>
      <w:r>
        <w:rPr>
          <w:rFonts w:ascii="Arial" w:hAnsi="Arial" w:cs="Arial"/>
        </w:rPr>
        <w:t>29. المصروفات النثرية ومطالبات العاملين</w:t>
      </w:r>
    </w:p>
    <w:p>
      <w:pPr>
        <w:pStyle w:val="ListBullet"/>
        <w:spacing w:after="40"/>
        <w:ind w:left="288" w:right="360"/>
        <w:jc w:val="right"/>
        <w:bidi w:val="1"/>
      </w:pPr>
      <w:r>
        <w:rPr>
          <w:rFonts w:ascii="Arial" w:hAnsi="Arial" w:cs="Arial"/>
          <w:sz w:val="20"/>
        </w:rPr>
        <w:t>تقتصر على مصروفات صغيرة عاجلة لا تناسب الشراء المعتاد وفي حدود السقف المعتمد.</w:t>
      </w:r>
    </w:p>
    <w:p>
      <w:pPr>
        <w:pStyle w:val="ListBullet"/>
        <w:spacing w:after="40"/>
        <w:ind w:left="288" w:right="360"/>
        <w:jc w:val="right"/>
        <w:bidi w:val="1"/>
      </w:pPr>
      <w:r>
        <w:rPr>
          <w:rFonts w:ascii="Arial" w:hAnsi="Arial" w:cs="Arial"/>
          <w:sz w:val="20"/>
        </w:rPr>
        <w:t>تقدم المطالبة خلال المدة المحددة بإيصال ووصف الغرض والمستفيد والبرنامج.</w:t>
      </w:r>
    </w:p>
    <w:p>
      <w:pPr>
        <w:pStyle w:val="ListBullet"/>
        <w:spacing w:after="40"/>
        <w:ind w:left="288" w:right="360"/>
        <w:jc w:val="right"/>
        <w:bidi w:val="1"/>
      </w:pPr>
      <w:r>
        <w:rPr>
          <w:rFonts w:ascii="Arial" w:hAnsi="Arial" w:cs="Arial"/>
          <w:sz w:val="20"/>
        </w:rPr>
        <w:t>لا تعوض الغرامات أو المخالفات الشخصية أو المصروف غير المرتبط بالعمل إلا بقرار نظامي مسبب.</w:t>
      </w:r>
    </w:p>
    <w:p>
      <w:pPr>
        <w:pStyle w:val="ListBullet"/>
        <w:spacing w:after="40"/>
        <w:ind w:left="288" w:right="360"/>
        <w:jc w:val="right"/>
        <w:bidi w:val="1"/>
      </w:pPr>
      <w:r>
        <w:rPr>
          <w:rFonts w:ascii="Arial" w:hAnsi="Arial" w:cs="Arial"/>
          <w:sz w:val="20"/>
        </w:rPr>
        <w:t>تراجع المصروفات المتكررة لتحويلها إلى عقد أو مورد أو وسيلة شراء أكثر كفاءة.</w:t>
      </w:r>
    </w:p>
    <w:p>
      <w:pPr>
        <w:pStyle w:val="Heading2"/>
        <w:jc w:val="right"/>
        <w:keepNext/>
        <w:bidi w:val="1"/>
      </w:pPr>
      <w:r>
        <w:rPr>
          <w:rFonts w:ascii="Arial" w:hAnsi="Arial" w:cs="Arial"/>
        </w:rPr>
        <w:t>30. السلف الشخصية</w:t>
      </w:r>
    </w:p>
    <w:p>
      <w:pPr>
        <w:spacing w:after="80"/>
        <w:jc w:val="right"/>
        <w:bidi w:val="1"/>
      </w:pPr>
      <w:r>
        <w:rPr>
          <w:rFonts w:ascii="Arial" w:hAnsi="Arial" w:cs="Arial"/>
          <w:b w:val="0"/>
        </w:rPr>
        <w:t>لا تمنح سلفة شخصية للعامل إلا إذا أجازتها لائحة الموارد البشرية أو برنامج معتمد يحدد الأهلية والسقف والاستقطاع والموافقة والمعالجة عند انتهاء الخدمة، وبما لا يخالف نظام العمل. ولا تستخدم العهدة التشغيلية كبديل عن السلفة الشخصية.</w:t>
      </w:r>
    </w:p>
    <w:p>
      <w:pPr>
        <w:pStyle w:val="Heading1"/>
        <w:jc w:val="right"/>
        <w:keepNext/>
        <w:bidi w:val="1"/>
      </w:pPr>
      <w:r>
        <w:rPr>
          <w:rFonts w:ascii="Arial" w:hAnsi="Arial" w:cs="Arial"/>
        </w:rPr>
        <w:t>الباب التاسع: الأصول والمخزون</w:t>
      </w:r>
    </w:p>
    <w:p>
      <w:pPr>
        <w:pStyle w:val="Heading2"/>
        <w:jc w:val="right"/>
        <w:keepNext/>
        <w:bidi w:val="1"/>
      </w:pPr>
      <w:r>
        <w:rPr>
          <w:rFonts w:ascii="Arial" w:hAnsi="Arial" w:cs="Arial"/>
        </w:rPr>
        <w:t>31. اقتناء الأصول وتسجيلها</w:t>
      </w:r>
    </w:p>
    <w:p>
      <w:pPr>
        <w:pStyle w:val="ListBullet"/>
        <w:spacing w:after="40"/>
        <w:ind w:left="288" w:right="360"/>
        <w:jc w:val="right"/>
        <w:bidi w:val="1"/>
      </w:pPr>
      <w:r>
        <w:rPr>
          <w:rFonts w:ascii="Arial" w:hAnsi="Arial" w:cs="Arial"/>
          <w:sz w:val="20"/>
        </w:rPr>
        <w:t>تقتنى الأصول وفق الموازنة والمشتريات والصلاحيات وتثبت بالتكلفة والمعالجة المحاسبية المعتمدة.</w:t>
      </w:r>
    </w:p>
    <w:p>
      <w:pPr>
        <w:pStyle w:val="ListBullet"/>
        <w:spacing w:after="40"/>
        <w:ind w:left="288" w:right="360"/>
        <w:jc w:val="right"/>
        <w:bidi w:val="1"/>
      </w:pPr>
      <w:r>
        <w:rPr>
          <w:rFonts w:ascii="Arial" w:hAnsi="Arial" w:cs="Arial"/>
          <w:sz w:val="20"/>
        </w:rPr>
        <w:t>يخصص لكل أصل رقم وسجل يتضمن الوصف والموقع والحائز والتاريخ والتكلفة والحالة والضمان.</w:t>
      </w:r>
    </w:p>
    <w:p>
      <w:pPr>
        <w:pStyle w:val="ListBullet"/>
        <w:spacing w:after="40"/>
        <w:ind w:left="288" w:right="360"/>
        <w:jc w:val="right"/>
        <w:bidi w:val="1"/>
      </w:pPr>
      <w:r>
        <w:rPr>
          <w:rFonts w:ascii="Arial" w:hAnsi="Arial" w:cs="Arial"/>
          <w:sz w:val="20"/>
        </w:rPr>
        <w:t>تحدد سياسة الرسملة والأعمار والاستهلاك وفق المعايير وتراجع التقديرات دوريًا.</w:t>
      </w:r>
    </w:p>
    <w:p>
      <w:pPr>
        <w:pStyle w:val="ListBullet"/>
        <w:spacing w:after="40"/>
        <w:ind w:left="288" w:right="360"/>
        <w:jc w:val="right"/>
        <w:bidi w:val="1"/>
      </w:pPr>
      <w:r>
        <w:rPr>
          <w:rFonts w:ascii="Arial" w:hAnsi="Arial" w:cs="Arial"/>
          <w:sz w:val="20"/>
        </w:rPr>
        <w:t>تجرى مطابقة دورية بين السجل والدفتر والموجود الفعلي، وتحقق الفروق.</w:t>
      </w:r>
    </w:p>
    <w:p>
      <w:pPr>
        <w:pStyle w:val="Heading2"/>
        <w:jc w:val="right"/>
        <w:keepNext/>
        <w:bidi w:val="1"/>
      </w:pPr>
      <w:r>
        <w:rPr>
          <w:rFonts w:ascii="Arial" w:hAnsi="Arial" w:cs="Arial"/>
        </w:rPr>
        <w:t>32. العهد والنقل والاستبعاد</w:t>
      </w:r>
    </w:p>
    <w:p>
      <w:pPr>
        <w:pStyle w:val="ListBullet"/>
        <w:spacing w:after="40"/>
        <w:ind w:left="288" w:right="360"/>
        <w:jc w:val="right"/>
        <w:bidi w:val="1"/>
      </w:pPr>
      <w:r>
        <w:rPr>
          <w:rFonts w:ascii="Arial" w:hAnsi="Arial" w:cs="Arial"/>
          <w:sz w:val="20"/>
        </w:rPr>
        <w:t>يسلم الأصل بعهدة، ولا ينقل أو يخرج من الموقع دون نموذج معتمد وتحديث السجل.</w:t>
      </w:r>
    </w:p>
    <w:p>
      <w:pPr>
        <w:pStyle w:val="ListBullet"/>
        <w:spacing w:after="40"/>
        <w:ind w:left="288" w:right="360"/>
        <w:jc w:val="right"/>
        <w:bidi w:val="1"/>
      </w:pPr>
      <w:r>
        <w:rPr>
          <w:rFonts w:ascii="Arial" w:hAnsi="Arial" w:cs="Arial"/>
          <w:sz w:val="20"/>
        </w:rPr>
        <w:t>يبلغ عن الفقد أو التلف فورًا، وتحقق المسؤولية والتغطية والإجراء التصحيحي.</w:t>
      </w:r>
    </w:p>
    <w:p>
      <w:pPr>
        <w:pStyle w:val="ListBullet"/>
        <w:spacing w:after="40"/>
        <w:ind w:left="288" w:right="360"/>
        <w:jc w:val="right"/>
        <w:bidi w:val="1"/>
      </w:pPr>
      <w:r>
        <w:rPr>
          <w:rFonts w:ascii="Arial" w:hAnsi="Arial" w:cs="Arial"/>
          <w:sz w:val="20"/>
        </w:rPr>
        <w:t>لا يباع أو يتبرع أو يشطب أو يتلف أصل إلا بعد فحص وتقييم واعتماد وفق الصلاحية والأنظمة.</w:t>
      </w:r>
    </w:p>
    <w:p>
      <w:pPr>
        <w:pStyle w:val="ListBullet"/>
        <w:spacing w:after="40"/>
        <w:ind w:left="288" w:right="360"/>
        <w:jc w:val="right"/>
        <w:bidi w:val="1"/>
      </w:pPr>
      <w:r>
        <w:rPr>
          <w:rFonts w:ascii="Arial" w:hAnsi="Arial" w:cs="Arial"/>
          <w:sz w:val="20"/>
        </w:rPr>
        <w:t>توثق طريقة الاستبعاد والعائد والمستفيد وتعارض المصالح، وتزال البيانات من الأجهزة قبل التصرف.</w:t>
      </w:r>
    </w:p>
    <w:p>
      <w:pPr>
        <w:pStyle w:val="Heading2"/>
        <w:jc w:val="right"/>
        <w:keepNext/>
        <w:bidi w:val="1"/>
      </w:pPr>
      <w:r>
        <w:rPr>
          <w:rFonts w:ascii="Arial" w:hAnsi="Arial" w:cs="Arial"/>
        </w:rPr>
        <w:t>33. المخزون</w:t>
      </w:r>
    </w:p>
    <w:p>
      <w:pPr>
        <w:pStyle w:val="ListBullet"/>
        <w:spacing w:after="40"/>
        <w:ind w:left="288" w:right="360"/>
        <w:jc w:val="right"/>
        <w:bidi w:val="1"/>
      </w:pPr>
      <w:r>
        <w:rPr>
          <w:rFonts w:ascii="Arial" w:hAnsi="Arial" w:cs="Arial"/>
          <w:sz w:val="20"/>
        </w:rPr>
        <w:t>يقيد الاستلام والصرف والمرتجع والتالف في سجل موحد وبمستندات متسلسلة.</w:t>
      </w:r>
    </w:p>
    <w:p>
      <w:pPr>
        <w:pStyle w:val="ListBullet"/>
        <w:spacing w:after="40"/>
        <w:ind w:left="288" w:right="360"/>
        <w:jc w:val="right"/>
        <w:bidi w:val="1"/>
      </w:pPr>
      <w:r>
        <w:rPr>
          <w:rFonts w:ascii="Arial" w:hAnsi="Arial" w:cs="Arial"/>
          <w:sz w:val="20"/>
        </w:rPr>
        <w:t>تحدد حدود إعادة الطلب والصلاحية وظروف الحفظ، وتطبق قاعدة الصرف الأنسب لطبيعة الصنف.</w:t>
      </w:r>
    </w:p>
    <w:p>
      <w:pPr>
        <w:pStyle w:val="ListBullet"/>
        <w:spacing w:after="40"/>
        <w:ind w:left="288" w:right="360"/>
        <w:jc w:val="right"/>
        <w:bidi w:val="1"/>
      </w:pPr>
      <w:r>
        <w:rPr>
          <w:rFonts w:ascii="Arial" w:hAnsi="Arial" w:cs="Arial"/>
          <w:sz w:val="20"/>
        </w:rPr>
        <w:t>يجرى جرد دوري وسنوي من لجنة مستقلة نسبيًا، وتقارن النتائج بالدفاتر وتحقق الفروق.</w:t>
      </w:r>
    </w:p>
    <w:p>
      <w:pPr>
        <w:pStyle w:val="ListBullet"/>
        <w:spacing w:after="40"/>
        <w:ind w:left="288" w:right="360"/>
        <w:jc w:val="right"/>
        <w:bidi w:val="1"/>
      </w:pPr>
      <w:r>
        <w:rPr>
          <w:rFonts w:ascii="Arial" w:hAnsi="Arial" w:cs="Arial"/>
          <w:sz w:val="20"/>
        </w:rPr>
        <w:t>تفصل المواد المقيدة أو الطبية أو الحساسة وتطبق عليها متطلبات التخزين والتتبع الخاصة.</w:t>
      </w:r>
    </w:p>
    <w:p>
      <w:pPr>
        <w:pStyle w:val="Heading1"/>
        <w:jc w:val="right"/>
        <w:keepNext/>
        <w:bidi w:val="1"/>
      </w:pPr>
      <w:r>
        <w:rPr>
          <w:rFonts w:ascii="Arial" w:hAnsi="Arial" w:cs="Arial"/>
        </w:rPr>
        <w:t>الباب العاشر: المحاسبة والإقفال والتقارير</w:t>
      </w:r>
    </w:p>
    <w:p>
      <w:pPr>
        <w:pStyle w:val="Heading2"/>
        <w:jc w:val="right"/>
        <w:keepNext/>
        <w:bidi w:val="1"/>
      </w:pPr>
      <w:r>
        <w:rPr>
          <w:rFonts w:ascii="Arial" w:hAnsi="Arial" w:cs="Arial"/>
        </w:rPr>
        <w:t>34. النظام المحاسبي ودليل الحسابات</w:t>
      </w:r>
    </w:p>
    <w:p>
      <w:pPr>
        <w:pStyle w:val="ListBullet"/>
        <w:spacing w:after="40"/>
        <w:ind w:left="288" w:right="360"/>
        <w:jc w:val="right"/>
        <w:bidi w:val="1"/>
      </w:pPr>
      <w:r>
        <w:rPr>
          <w:rFonts w:ascii="Arial" w:hAnsi="Arial" w:cs="Arial"/>
          <w:sz w:val="20"/>
        </w:rPr>
        <w:t>تستخدم الجمعية نظامًا محاسبيًا موثوقًا ودليل الحسابات الموحد للجمعيات الأهلية ومراكز تكلفة مناسبة.</w:t>
      </w:r>
    </w:p>
    <w:p>
      <w:pPr>
        <w:pStyle w:val="ListBullet"/>
        <w:spacing w:after="40"/>
        <w:ind w:left="288" w:right="360"/>
        <w:jc w:val="right"/>
        <w:bidi w:val="1"/>
      </w:pPr>
      <w:r>
        <w:rPr>
          <w:rFonts w:ascii="Arial" w:hAnsi="Arial" w:cs="Arial"/>
          <w:sz w:val="20"/>
        </w:rPr>
        <w:t>تسجل العمليات على أساس الاستحقاق أو وفق الإطار المحاسبي المعتمد، وبالفترة والبرنامج والممول الصحيح.</w:t>
      </w:r>
    </w:p>
    <w:p>
      <w:pPr>
        <w:pStyle w:val="ListBullet"/>
        <w:spacing w:after="40"/>
        <w:ind w:left="288" w:right="360"/>
        <w:jc w:val="right"/>
        <w:bidi w:val="1"/>
      </w:pPr>
      <w:r>
        <w:rPr>
          <w:rFonts w:ascii="Arial" w:hAnsi="Arial" w:cs="Arial"/>
          <w:sz w:val="20"/>
        </w:rPr>
        <w:t>تقيد الأموال المقيدة والمنح والزكوات والأوقاف بصورة تمكن من تتبع المصدر والاستخدام والرصيد.</w:t>
      </w:r>
    </w:p>
    <w:p>
      <w:pPr>
        <w:pStyle w:val="ListBullet"/>
        <w:spacing w:after="40"/>
        <w:ind w:left="288" w:right="360"/>
        <w:jc w:val="right"/>
        <w:bidi w:val="1"/>
      </w:pPr>
      <w:r>
        <w:rPr>
          <w:rFonts w:ascii="Arial" w:hAnsi="Arial" w:cs="Arial"/>
          <w:sz w:val="20"/>
        </w:rPr>
        <w:t>لا ينشأ أو يعدل حساب أو مركز تكلفة إلا من مخول وبعد مراجعة أثره على التقارير.</w:t>
      </w:r>
    </w:p>
    <w:p>
      <w:pPr>
        <w:pStyle w:val="ListBullet"/>
        <w:spacing w:after="40"/>
        <w:ind w:left="288" w:right="360"/>
        <w:jc w:val="right"/>
        <w:bidi w:val="1"/>
      </w:pPr>
      <w:r>
        <w:rPr>
          <w:rFonts w:ascii="Arial" w:hAnsi="Arial" w:cs="Arial"/>
          <w:sz w:val="20"/>
        </w:rPr>
        <w:t>تمنع القيود المباشرة غير الموثقة، وتراجع قيود اليومية اليدوية والتعديلات والإلغاءات من مستوى مستقل.</w:t>
      </w:r>
    </w:p>
    <w:p>
      <w:pPr>
        <w:pStyle w:val="Heading2"/>
        <w:jc w:val="right"/>
        <w:keepNext/>
        <w:bidi w:val="1"/>
      </w:pPr>
      <w:r>
        <w:rPr>
          <w:rFonts w:ascii="Arial" w:hAnsi="Arial" w:cs="Arial"/>
        </w:rPr>
        <w:t>35. الإقفال الدوري</w:t>
      </w:r>
    </w:p>
    <w:p>
      <w:pPr>
        <w:spacing w:after="60"/>
        <w:ind w:right="288" w:hanging="288"/>
        <w:jc w:val="right"/>
        <w:bidi w:val="1"/>
      </w:pPr>
      <w:r>
        <w:rPr>
          <w:rFonts w:ascii="Arial" w:hAnsi="Arial" w:cs="Arial"/>
          <w:sz w:val="20"/>
        </w:rPr>
        <w:t>1. إقفال التحصيل والمدفوعات والفواتير والرواتب للفترة.</w:t>
      </w:r>
    </w:p>
    <w:p>
      <w:pPr>
        <w:spacing w:after="60"/>
        <w:ind w:right="288" w:hanging="288"/>
        <w:jc w:val="right"/>
        <w:bidi w:val="1"/>
      </w:pPr>
      <w:r>
        <w:rPr>
          <w:rFonts w:ascii="Arial" w:hAnsi="Arial" w:cs="Arial"/>
          <w:sz w:val="20"/>
        </w:rPr>
        <w:t>2. إجراء التسويات البنكية والعهد والموردين والعملاء والمخزون والأصول.</w:t>
      </w:r>
    </w:p>
    <w:p>
      <w:pPr>
        <w:spacing w:after="60"/>
        <w:ind w:right="288" w:hanging="288"/>
        <w:jc w:val="right"/>
        <w:bidi w:val="1"/>
      </w:pPr>
      <w:r>
        <w:rPr>
          <w:rFonts w:ascii="Arial" w:hAnsi="Arial" w:cs="Arial"/>
          <w:sz w:val="20"/>
        </w:rPr>
        <w:t>3. إثبات المستحقات والمقدمات والاستهلاك والمخصصات والتزامات العقود.</w:t>
      </w:r>
    </w:p>
    <w:p>
      <w:pPr>
        <w:spacing w:after="60"/>
        <w:ind w:right="288" w:hanging="288"/>
        <w:jc w:val="right"/>
        <w:bidi w:val="1"/>
      </w:pPr>
      <w:r>
        <w:rPr>
          <w:rFonts w:ascii="Arial" w:hAnsi="Arial" w:cs="Arial"/>
          <w:sz w:val="20"/>
        </w:rPr>
        <w:t>4. مطابقة الحسابات المساعدة بدفتر الأستاذ ومراجعة الأرصدة غير الطبيعية.</w:t>
      </w:r>
    </w:p>
    <w:p>
      <w:pPr>
        <w:spacing w:after="60"/>
        <w:ind w:right="288" w:hanging="288"/>
        <w:jc w:val="right"/>
        <w:bidi w:val="1"/>
      </w:pPr>
      <w:r>
        <w:rPr>
          <w:rFonts w:ascii="Arial" w:hAnsi="Arial" w:cs="Arial"/>
          <w:sz w:val="20"/>
        </w:rPr>
        <w:t>5. مراجعة الأموال المقيدة والميزانية والانحرافات والسيولة.</w:t>
      </w:r>
    </w:p>
    <w:p>
      <w:pPr>
        <w:spacing w:after="60"/>
        <w:ind w:right="288" w:hanging="288"/>
        <w:jc w:val="right"/>
        <w:bidi w:val="1"/>
      </w:pPr>
      <w:r>
        <w:rPr>
          <w:rFonts w:ascii="Arial" w:hAnsi="Arial" w:cs="Arial"/>
          <w:sz w:val="20"/>
        </w:rPr>
        <w:t>6. اعتماد قائمة تحقق الإقفال وإغلاق الفترة ومنع التعديل إلا بإجراء مصرح.</w:t>
      </w:r>
    </w:p>
    <w:p>
      <w:pPr>
        <w:pStyle w:val="Heading2"/>
        <w:jc w:val="right"/>
        <w:keepNext/>
        <w:bidi w:val="1"/>
      </w:pPr>
      <w:r>
        <w:rPr>
          <w:rFonts w:ascii="Arial" w:hAnsi="Arial" w:cs="Arial"/>
        </w:rPr>
        <w:t>36. التقارير الدورية</w:t>
      </w:r>
    </w:p>
    <w:tbl>
      <w:tblPr>
        <w:tblStyle w:val="TableGrid"/>
        <w:tblW w:type="dxa" w:w="8500"/>
        <w:jc w:val="center"/>
        <w:tblLayout w:type="fixed"/>
        <w:tblLook w:firstColumn="1" w:firstRow="1" w:lastColumn="0" w:lastRow="0" w:noHBand="0" w:noVBand="1" w:val="04A0"/>
        <w:tblInd w:w="0" w:type="dxa"/>
        <w:bidiVisual/>
      </w:tblPr>
      <w:tblGrid>
        <w:gridCol w:w="1900"/>
        <w:gridCol w:w="1500"/>
        <w:gridCol w:w="2100"/>
        <w:gridCol w:w="3000"/>
      </w:tblGrid>
      <w:tr>
        <w:trPr>
          <w:tblHeader w:val="true"/>
          <w:cantSplit/>
        </w:trPr>
        <w:tc>
          <w:tcPr>
            <w:tcW w:type="dxa" w:w="1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التقرير</w:t>
            </w:r>
          </w:p>
        </w:tc>
        <w:tc>
          <w:tcPr>
            <w:tcW w:type="dxa" w:w="1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الدورية</w:t>
            </w:r>
          </w:p>
        </w:tc>
        <w:tc>
          <w:tcPr>
            <w:tcW w:type="dxa" w:w="2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المتلقي</w:t>
            </w:r>
          </w:p>
        </w:tc>
        <w:tc>
          <w:tcPr>
            <w:tcW w:type="dxa" w:w="30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الحد الأدنى للمحتوى</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تنفيذ الموازنة</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6"/>
              </w:rPr>
              <w:t>شهري/ربع سنوي</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الإدارة والمجلس</w:t>
            </w:r>
          </w:p>
        </w:tc>
        <w:tc>
          <w:tcPr>
            <w:tcW w:type="dxa" w:w="3000"/>
            <w:tcMar>
              <w:top w:w="90" w:type="dxa"/>
              <w:start w:w="110" w:type="dxa"/>
              <w:bottom w:w="90" w:type="dxa"/>
              <w:end w:w="110" w:type="dxa"/>
            </w:tcMar>
            <w:vAlign w:val="center"/>
          </w:tcPr>
          <w:p>
            <w:pPr>
              <w:spacing w:before="40" w:after="40"/>
              <w:jc w:val="right"/>
              <w:bidi w:val="1"/>
            </w:pPr>
            <w:r>
              <w:rPr>
                <w:rFonts w:ascii="Arial" w:hAnsi="Arial" w:cs="Arial"/>
                <w:sz w:val="16"/>
              </w:rPr>
              <w:t>فعلي، ملتزم، متوقع، انحراف، تفسير</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السيولة والتدفق</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6"/>
              </w:rPr>
              <w:t>شهري أو عند الخطر</w:t>
            </w:r>
          </w:p>
        </w:tc>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المدير التنفيذي والمجلس</w:t>
            </w:r>
          </w:p>
        </w:tc>
        <w:tc>
          <w:tcPr>
            <w:tcW w:type="dxa" w:w="3000"/>
            <w:shd w:fill="F2F4F5"/>
            <w:tcMar>
              <w:top w:w="90" w:type="dxa"/>
              <w:start w:w="110" w:type="dxa"/>
              <w:bottom w:w="90" w:type="dxa"/>
              <w:end w:w="110" w:type="dxa"/>
            </w:tcMar>
            <w:vAlign w:val="center"/>
          </w:tcPr>
          <w:p>
            <w:pPr>
              <w:spacing w:before="40" w:after="40"/>
              <w:jc w:val="right"/>
              <w:bidi w:val="1"/>
            </w:pPr>
            <w:r>
              <w:rPr>
                <w:rFonts w:ascii="Arial" w:hAnsi="Arial" w:cs="Arial"/>
                <w:sz w:val="16"/>
              </w:rPr>
              <w:t>أرصدة، التزامات، توقع، فجوة</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المركز والنتائج</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6"/>
              </w:rPr>
              <w:t>ربع سنوي</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مجلس الإدارة</w:t>
            </w:r>
          </w:p>
        </w:tc>
        <w:tc>
          <w:tcPr>
            <w:tcW w:type="dxa" w:w="3000"/>
            <w:tcMar>
              <w:top w:w="90" w:type="dxa"/>
              <w:start w:w="110" w:type="dxa"/>
              <w:bottom w:w="90" w:type="dxa"/>
              <w:end w:w="110" w:type="dxa"/>
            </w:tcMar>
            <w:vAlign w:val="center"/>
          </w:tcPr>
          <w:p>
            <w:pPr>
              <w:spacing w:before="40" w:after="40"/>
              <w:jc w:val="right"/>
              <w:bidi w:val="1"/>
            </w:pPr>
            <w:r>
              <w:rPr>
                <w:rFonts w:ascii="Arial" w:hAnsi="Arial" w:cs="Arial"/>
                <w:sz w:val="16"/>
              </w:rPr>
              <w:t>أصول، التزامات، إيرادات، مصروفات</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البرامج والمانحين</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6"/>
              </w:rPr>
              <w:t>حسب الاتفاق</w:t>
            </w:r>
          </w:p>
        </w:tc>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الإدارة/المانح</w:t>
            </w:r>
          </w:p>
        </w:tc>
        <w:tc>
          <w:tcPr>
            <w:tcW w:type="dxa" w:w="3000"/>
            <w:shd w:fill="F2F4F5"/>
            <w:tcMar>
              <w:top w:w="90" w:type="dxa"/>
              <w:start w:w="110" w:type="dxa"/>
              <w:bottom w:w="90" w:type="dxa"/>
              <w:end w:w="110" w:type="dxa"/>
            </w:tcMar>
            <w:vAlign w:val="center"/>
          </w:tcPr>
          <w:p>
            <w:pPr>
              <w:spacing w:before="40" w:after="40"/>
              <w:jc w:val="right"/>
              <w:bidi w:val="1"/>
            </w:pPr>
            <w:r>
              <w:rPr>
                <w:rFonts w:ascii="Arial" w:hAnsi="Arial" w:cs="Arial"/>
                <w:sz w:val="16"/>
              </w:rPr>
              <w:t>موازنة، صرف، رصيد، مخرجات</w:t>
            </w:r>
          </w:p>
        </w:tc>
      </w:tr>
      <w:tr>
        <w:trPr>
          <w:cantSplit/>
        </w:trPr>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6"/>
              </w:rPr>
              <w:t>العهد والذمم</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6"/>
              </w:rPr>
              <w:t>شهري</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إدارة الخدمات المساندة</w:t>
            </w:r>
          </w:p>
        </w:tc>
        <w:tc>
          <w:tcPr>
            <w:tcW w:type="dxa" w:w="3000"/>
            <w:tcMar>
              <w:top w:w="90" w:type="dxa"/>
              <w:start w:w="110" w:type="dxa"/>
              <w:bottom w:w="90" w:type="dxa"/>
              <w:end w:w="110" w:type="dxa"/>
            </w:tcMar>
            <w:vAlign w:val="center"/>
          </w:tcPr>
          <w:p>
            <w:pPr>
              <w:spacing w:before="40" w:after="40"/>
              <w:jc w:val="right"/>
              <w:bidi w:val="1"/>
            </w:pPr>
            <w:r>
              <w:rPr>
                <w:rFonts w:ascii="Arial" w:hAnsi="Arial" w:cs="Arial"/>
                <w:sz w:val="16"/>
              </w:rPr>
              <w:t>الأعمار، المتأخر، الإجراء</w:t>
            </w:r>
          </w:p>
        </w:tc>
      </w:tr>
      <w:tr>
        <w:trPr>
          <w:cantSplit/>
        </w:trPr>
        <w:tc>
          <w:tcPr>
            <w:tcW w:type="dxa" w:w="19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المخاطر والاستثناءات</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6"/>
              </w:rPr>
              <w:t>ربع سنوي أو فورًا</w:t>
            </w:r>
          </w:p>
        </w:tc>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المجلس/المراجعة</w:t>
            </w:r>
          </w:p>
        </w:tc>
        <w:tc>
          <w:tcPr>
            <w:tcW w:type="dxa" w:w="3000"/>
            <w:shd w:fill="F2F4F5"/>
            <w:tcMar>
              <w:top w:w="90" w:type="dxa"/>
              <w:start w:w="110" w:type="dxa"/>
              <w:bottom w:w="90" w:type="dxa"/>
              <w:end w:w="110" w:type="dxa"/>
            </w:tcMar>
            <w:vAlign w:val="center"/>
          </w:tcPr>
          <w:p>
            <w:pPr>
              <w:spacing w:before="40" w:after="40"/>
              <w:jc w:val="right"/>
              <w:bidi w:val="1"/>
            </w:pPr>
            <w:r>
              <w:rPr>
                <w:rFonts w:ascii="Arial" w:hAnsi="Arial" w:cs="Arial"/>
                <w:sz w:val="16"/>
              </w:rPr>
              <w:t>تجاوزات، احتيال، ضوابط، معالجة</w:t>
            </w:r>
          </w:p>
        </w:tc>
      </w:tr>
    </w:tbl>
    <w:p>
      <w:pPr>
        <w:pStyle w:val="Heading1"/>
        <w:jc w:val="right"/>
        <w:keepNext/>
        <w:bidi w:val="1"/>
      </w:pPr>
      <w:r>
        <w:rPr>
          <w:rFonts w:ascii="Arial" w:hAnsi="Arial" w:cs="Arial"/>
        </w:rPr>
        <w:t>الباب الحادي عشر: الحساب الختامي والمراجعة</w:t>
      </w:r>
    </w:p>
    <w:p>
      <w:pPr>
        <w:pStyle w:val="Heading2"/>
        <w:jc w:val="right"/>
        <w:keepNext/>
        <w:bidi w:val="1"/>
      </w:pPr>
      <w:r>
        <w:rPr>
          <w:rFonts w:ascii="Arial" w:hAnsi="Arial" w:cs="Arial"/>
        </w:rPr>
        <w:t>37. إعداد الحساب الختامي</w:t>
      </w:r>
    </w:p>
    <w:p>
      <w:pPr>
        <w:pStyle w:val="ListBullet"/>
        <w:spacing w:after="40"/>
        <w:ind w:left="288" w:right="360"/>
        <w:jc w:val="right"/>
        <w:bidi w:val="1"/>
      </w:pPr>
      <w:r>
        <w:rPr>
          <w:rFonts w:ascii="Arial" w:hAnsi="Arial" w:cs="Arial"/>
          <w:sz w:val="20"/>
        </w:rPr>
        <w:t>تصدر تعليمات الإقفال السنوي وخطة المسؤوليات والمواعيد والجرد والمصادقات.</w:t>
      </w:r>
    </w:p>
    <w:p>
      <w:pPr>
        <w:pStyle w:val="ListBullet"/>
        <w:spacing w:after="40"/>
        <w:ind w:left="288" w:right="360"/>
        <w:jc w:val="right"/>
        <w:bidi w:val="1"/>
      </w:pPr>
      <w:r>
        <w:rPr>
          <w:rFonts w:ascii="Arial" w:hAnsi="Arial" w:cs="Arial"/>
          <w:sz w:val="20"/>
        </w:rPr>
        <w:t>تعد الوحدة المالية القوائم والإيضاحات والتصنيف الوظيفي للمصروفات والملفات المؤيدة وفق المعايير والدليل الموحد.</w:t>
      </w:r>
    </w:p>
    <w:p>
      <w:pPr>
        <w:pStyle w:val="ListBullet"/>
        <w:spacing w:after="40"/>
        <w:ind w:left="288" w:right="360"/>
        <w:jc w:val="right"/>
        <w:bidi w:val="1"/>
      </w:pPr>
      <w:r>
        <w:rPr>
          <w:rFonts w:ascii="Arial" w:hAnsi="Arial" w:cs="Arial"/>
          <w:sz w:val="20"/>
        </w:rPr>
        <w:t>يراجع المدير التنفيذي ومجلس الإدارة الحساب الختامي وتقرير المراجع الخارجي، ويرفع إلى الجمعية العمومية لإقراره.</w:t>
      </w:r>
    </w:p>
    <w:p>
      <w:pPr>
        <w:pStyle w:val="ListBullet"/>
        <w:spacing w:after="40"/>
        <w:ind w:left="288" w:right="360"/>
        <w:jc w:val="right"/>
        <w:bidi w:val="1"/>
      </w:pPr>
      <w:r>
        <w:rPr>
          <w:rFonts w:ascii="Arial" w:hAnsi="Arial" w:cs="Arial"/>
          <w:sz w:val="20"/>
        </w:rPr>
        <w:t>تزود الجمعية المركز بالحساب الختامي والتقارير المالية المدققة بعد إقرار الجمعية العمومية خلال أربعة أشهر من نهاية السنة المالية.</w:t>
      </w:r>
    </w:p>
    <w:p>
      <w:pPr>
        <w:pStyle w:val="ListBullet"/>
        <w:spacing w:after="40"/>
        <w:ind w:left="288" w:right="360"/>
        <w:jc w:val="right"/>
        <w:bidi w:val="1"/>
      </w:pPr>
      <w:r>
        <w:t>تنشر الوثيقة وفق متطلبات الحوكمة بعد تنقيح بيانات الحسابات والتوقيعات والمعلومات الأمنية غير اللازمة.</w:t>
      </w:r>
    </w:p>
    <w:p>
      <w:pPr>
        <w:pStyle w:val="Heading2"/>
        <w:jc w:val="right"/>
        <w:keepNext/>
        <w:bidi w:val="1"/>
      </w:pPr>
      <w:r>
        <w:rPr>
          <w:rFonts w:ascii="Arial" w:hAnsi="Arial" w:cs="Arial"/>
        </w:rPr>
        <w:t>38. الجرد والمصادقات</w:t>
      </w:r>
    </w:p>
    <w:p>
      <w:pPr>
        <w:pStyle w:val="ListBullet"/>
        <w:spacing w:after="40"/>
        <w:ind w:left="288" w:right="360"/>
        <w:jc w:val="right"/>
        <w:bidi w:val="1"/>
      </w:pPr>
      <w:r>
        <w:rPr>
          <w:rFonts w:ascii="Arial" w:hAnsi="Arial" w:cs="Arial"/>
          <w:sz w:val="20"/>
        </w:rPr>
        <w:t>تجرى جردات الأصول والمخزون والنقد والعهد في نهاية السنة، وتوقع المحاضر من اللجنة والحائز.</w:t>
      </w:r>
    </w:p>
    <w:p>
      <w:pPr>
        <w:pStyle w:val="ListBullet"/>
        <w:spacing w:after="40"/>
        <w:ind w:left="288" w:right="360"/>
        <w:jc w:val="right"/>
        <w:bidi w:val="1"/>
      </w:pPr>
      <w:r>
        <w:rPr>
          <w:rFonts w:ascii="Arial" w:hAnsi="Arial" w:cs="Arial"/>
          <w:sz w:val="20"/>
        </w:rPr>
        <w:t>ترسل مصادقات مستقلة للبنوك والعملاء والموردين والمانحين والمحامين عند الحاجة.</w:t>
      </w:r>
    </w:p>
    <w:p>
      <w:pPr>
        <w:pStyle w:val="ListBullet"/>
        <w:spacing w:after="40"/>
        <w:ind w:left="288" w:right="360"/>
        <w:jc w:val="right"/>
        <w:bidi w:val="1"/>
      </w:pPr>
      <w:r>
        <w:rPr>
          <w:rFonts w:ascii="Arial" w:hAnsi="Arial" w:cs="Arial"/>
          <w:sz w:val="20"/>
        </w:rPr>
        <w:t>تحقق الفروق وتثبت التسويات والمسؤوليات قبل اعتماد القوائم، ولا يؤجل فرق جوهري دون إفصاح.</w:t>
      </w:r>
    </w:p>
    <w:p>
      <w:pPr>
        <w:pStyle w:val="ListBullet"/>
        <w:spacing w:after="40"/>
        <w:ind w:left="288" w:right="360"/>
        <w:jc w:val="right"/>
        <w:bidi w:val="1"/>
      </w:pPr>
      <w:r>
        <w:rPr>
          <w:rFonts w:ascii="Arial" w:hAnsi="Arial" w:cs="Arial"/>
          <w:sz w:val="20"/>
        </w:rPr>
        <w:t>توثق الأحداث اللاحقة والالتزامات المحتملة والقضايا والتعهدات والتعاملات مع الأطراف ذات العلاقة.</w:t>
      </w:r>
    </w:p>
    <w:p>
      <w:pPr>
        <w:pStyle w:val="Heading2"/>
        <w:jc w:val="right"/>
        <w:keepNext/>
        <w:bidi w:val="1"/>
      </w:pPr>
      <w:r>
        <w:rPr>
          <w:rFonts w:ascii="Arial" w:hAnsi="Arial" w:cs="Arial"/>
        </w:rPr>
        <w:t>39. متابعة ملاحظات المراجعة</w:t>
      </w:r>
    </w:p>
    <w:p>
      <w:pPr>
        <w:pStyle w:val="ListBullet"/>
        <w:spacing w:after="40"/>
        <w:ind w:left="288" w:right="360"/>
        <w:jc w:val="right"/>
        <w:bidi w:val="1"/>
      </w:pPr>
      <w:r>
        <w:rPr>
          <w:rFonts w:ascii="Arial" w:hAnsi="Arial" w:cs="Arial"/>
          <w:sz w:val="20"/>
        </w:rPr>
        <w:t>تسجل كل ملاحظة ودرجتها ومالك المعالجة وموعدها ودليل الإغلاق.</w:t>
      </w:r>
    </w:p>
    <w:p>
      <w:pPr>
        <w:pStyle w:val="ListBullet"/>
        <w:spacing w:after="40"/>
        <w:ind w:left="288" w:right="360"/>
        <w:jc w:val="right"/>
        <w:bidi w:val="1"/>
      </w:pPr>
      <w:r>
        <w:rPr>
          <w:rFonts w:ascii="Arial" w:hAnsi="Arial" w:cs="Arial"/>
          <w:sz w:val="20"/>
        </w:rPr>
        <w:t>ترد الإدارة بمعلومات صحيحة ولا تحجب مستندًا أو تؤثر في استقلال المراجع.</w:t>
      </w:r>
    </w:p>
    <w:p>
      <w:pPr>
        <w:pStyle w:val="ListBullet"/>
        <w:spacing w:after="40"/>
        <w:ind w:left="288" w:right="360"/>
        <w:jc w:val="right"/>
        <w:bidi w:val="1"/>
      </w:pPr>
      <w:r>
        <w:rPr>
          <w:rFonts w:ascii="Arial" w:hAnsi="Arial" w:cs="Arial"/>
          <w:sz w:val="20"/>
        </w:rPr>
        <w:t>ترفع الملاحظات الجوهرية والمتأخرة لمجلس الإدارة، ويعاد اختبار الضابط بعد المعالجة.</w:t>
      </w:r>
    </w:p>
    <w:p>
      <w:pPr>
        <w:pStyle w:val="ListBullet"/>
        <w:spacing w:after="40"/>
        <w:ind w:left="288" w:right="360"/>
        <w:jc w:val="right"/>
        <w:bidi w:val="1"/>
      </w:pPr>
      <w:r>
        <w:rPr>
          <w:rFonts w:ascii="Arial" w:hAnsi="Arial" w:cs="Arial"/>
          <w:sz w:val="20"/>
        </w:rPr>
        <w:t>لا يغلق البند بمجرد الرد؛ يلزم تحقق من تنفيذ الإجراء وفعاليته.</w:t>
      </w:r>
    </w:p>
    <w:p>
      <w:pPr>
        <w:pStyle w:val="Heading1"/>
        <w:jc w:val="right"/>
        <w:keepNext/>
        <w:bidi w:val="1"/>
      </w:pPr>
      <w:r>
        <w:rPr>
          <w:rFonts w:ascii="Arial" w:hAnsi="Arial" w:cs="Arial"/>
        </w:rPr>
        <w:t>الباب الثاني عشر: الرقابة والمخاطر والمخالفات</w:t>
      </w:r>
    </w:p>
    <w:p>
      <w:pPr>
        <w:pStyle w:val="Heading2"/>
        <w:jc w:val="right"/>
        <w:keepNext/>
        <w:bidi w:val="1"/>
      </w:pPr>
      <w:r>
        <w:rPr>
          <w:rFonts w:ascii="Arial" w:hAnsi="Arial" w:cs="Arial"/>
        </w:rPr>
        <w:t>40. الرقابة الداخلية وإدارة المخاطر</w:t>
      </w:r>
    </w:p>
    <w:p>
      <w:pPr>
        <w:pStyle w:val="ListBullet"/>
        <w:spacing w:after="40"/>
        <w:ind w:left="288" w:right="360"/>
        <w:jc w:val="right"/>
        <w:bidi w:val="1"/>
      </w:pPr>
      <w:r>
        <w:rPr>
          <w:rFonts w:ascii="Arial" w:hAnsi="Arial" w:cs="Arial"/>
          <w:sz w:val="20"/>
        </w:rPr>
        <w:t>يربط نظام الرقابة الداخلية بسجل المخاطر وخطة المراجعة ومؤشرات الإنذار المالي.</w:t>
      </w:r>
    </w:p>
    <w:p>
      <w:pPr>
        <w:pStyle w:val="ListBullet"/>
        <w:spacing w:after="40"/>
        <w:ind w:left="288" w:right="360"/>
        <w:jc w:val="right"/>
        <w:bidi w:val="1"/>
      </w:pPr>
      <w:r>
        <w:rPr>
          <w:rFonts w:ascii="Arial" w:hAnsi="Arial" w:cs="Arial"/>
          <w:sz w:val="20"/>
        </w:rPr>
        <w:t>تراجع مخاطر الإيرادات والمشتريات والرواتب والبنوك والأنظمة والمنح والأصول والاحتيال سنويًا وعند التغير.</w:t>
      </w:r>
    </w:p>
    <w:p>
      <w:pPr>
        <w:pStyle w:val="ListBullet"/>
        <w:spacing w:after="40"/>
        <w:ind w:left="288" w:right="360"/>
        <w:jc w:val="right"/>
        <w:bidi w:val="1"/>
      </w:pPr>
      <w:r>
        <w:rPr>
          <w:rFonts w:ascii="Arial" w:hAnsi="Arial" w:cs="Arial"/>
          <w:sz w:val="20"/>
        </w:rPr>
        <w:t>تختبر صلاحيات النظام والتغييرات البنكية والموردين والقيود اليدوية والمدفوعات المكررة دوريًا.</w:t>
      </w:r>
    </w:p>
    <w:p>
      <w:pPr>
        <w:pStyle w:val="ListBullet"/>
        <w:spacing w:after="40"/>
        <w:ind w:left="288" w:right="360"/>
        <w:jc w:val="right"/>
        <w:bidi w:val="1"/>
      </w:pPr>
      <w:r>
        <w:rPr>
          <w:rFonts w:ascii="Arial" w:hAnsi="Arial" w:cs="Arial"/>
          <w:sz w:val="20"/>
        </w:rPr>
        <w:t>تطبق ضوابط مكافحة غسل الأموال وتمويل الإرهاب على المعاملات والعلاقات ذات الصلة.</w:t>
      </w:r>
    </w:p>
    <w:p>
      <w:pPr>
        <w:pStyle w:val="ListBullet"/>
        <w:spacing w:after="40"/>
        <w:ind w:left="288" w:right="360"/>
        <w:jc w:val="right"/>
        <w:bidi w:val="1"/>
      </w:pPr>
      <w:r>
        <w:rPr>
          <w:rFonts w:ascii="Arial" w:hAnsi="Arial" w:cs="Arial"/>
          <w:sz w:val="20"/>
        </w:rPr>
        <w:t>توضع خطة استمرارية تضمن الرواتب والمدفوعات الحرجة والوصول للسجلات عند التعطل.</w:t>
      </w:r>
    </w:p>
    <w:p>
      <w:pPr>
        <w:pStyle w:val="Heading2"/>
        <w:jc w:val="right"/>
        <w:keepNext/>
        <w:bidi w:val="1"/>
      </w:pPr>
      <w:r>
        <w:rPr>
          <w:rFonts w:ascii="Arial" w:hAnsi="Arial" w:cs="Arial"/>
        </w:rPr>
        <w:t>41. الاشتباه والاحتيال والمخالفة</w:t>
      </w:r>
    </w:p>
    <w:p>
      <w:pPr>
        <w:spacing w:after="60"/>
        <w:ind w:right="288" w:hanging="288"/>
        <w:jc w:val="right"/>
        <w:bidi w:val="1"/>
      </w:pPr>
      <w:r>
        <w:rPr>
          <w:rFonts w:ascii="Arial" w:hAnsi="Arial" w:cs="Arial"/>
          <w:sz w:val="20"/>
        </w:rPr>
        <w:t>1. يوقف الموظف المعاملة إذا كانت غير مكتملة أو غير مصرح بها دون تعديل الأدلة.</w:t>
      </w:r>
    </w:p>
    <w:p>
      <w:pPr>
        <w:spacing w:after="60"/>
        <w:ind w:right="288" w:hanging="288"/>
        <w:jc w:val="right"/>
        <w:bidi w:val="1"/>
      </w:pPr>
      <w:r>
        <w:rPr>
          <w:rFonts w:ascii="Arial" w:hAnsi="Arial" w:cs="Arial"/>
          <w:sz w:val="20"/>
        </w:rPr>
        <w:t>2. يبلغ عبر سياسة الإبلاغ أو قناة الالتزام، ويحفظ السرية ولا ينبه الطرف محل الاشتباه.</w:t>
      </w:r>
    </w:p>
    <w:p>
      <w:pPr>
        <w:spacing w:after="60"/>
        <w:ind w:right="288" w:hanging="288"/>
        <w:jc w:val="right"/>
        <w:bidi w:val="1"/>
      </w:pPr>
      <w:r>
        <w:rPr>
          <w:rFonts w:ascii="Arial" w:hAnsi="Arial" w:cs="Arial"/>
          <w:sz w:val="20"/>
        </w:rPr>
        <w:t>3. تحمى الأدلة والسجلات والحسابات والصلاحيات من العبث أو الإتلاف.</w:t>
      </w:r>
    </w:p>
    <w:p>
      <w:pPr>
        <w:spacing w:after="60"/>
        <w:ind w:right="288" w:hanging="288"/>
        <w:jc w:val="right"/>
        <w:bidi w:val="1"/>
      </w:pPr>
      <w:r>
        <w:rPr>
          <w:rFonts w:ascii="Arial" w:hAnsi="Arial" w:cs="Arial"/>
          <w:sz w:val="20"/>
        </w:rPr>
        <w:t>4. تقيم الحاجة إلى إجراء عاجل كتجميد صلاحية داخلية أو منع دفع أو حفظ أصل دون تعطيل إبلاغ رسمي واجب.</w:t>
      </w:r>
    </w:p>
    <w:p>
      <w:pPr>
        <w:spacing w:after="60"/>
        <w:ind w:right="288" w:hanging="288"/>
        <w:jc w:val="right"/>
        <w:bidi w:val="1"/>
      </w:pPr>
      <w:r>
        <w:rPr>
          <w:rFonts w:ascii="Arial" w:hAnsi="Arial" w:cs="Arial"/>
          <w:sz w:val="20"/>
        </w:rPr>
        <w:t>5. تجرى مراجعة أو تحقيق مستقل ويعالج تعارض المصالح، وتوثق النتيجة والخسارة والاسترداد.</w:t>
      </w:r>
    </w:p>
    <w:p>
      <w:pPr>
        <w:spacing w:after="60"/>
        <w:ind w:right="288" w:hanging="288"/>
        <w:jc w:val="right"/>
        <w:bidi w:val="1"/>
      </w:pPr>
      <w:r>
        <w:rPr>
          <w:rFonts w:ascii="Arial" w:hAnsi="Arial" w:cs="Arial"/>
          <w:sz w:val="20"/>
        </w:rPr>
        <w:t>6. تحال الحالات للجهات المختصة عندما توجب الأنظمة، وتتابع الإجراءات التصحيحية.</w:t>
      </w:r>
    </w:p>
    <w:p>
      <w:pPr>
        <w:pStyle w:val="Heading2"/>
        <w:jc w:val="right"/>
        <w:keepNext/>
        <w:bidi w:val="1"/>
      </w:pPr>
      <w:r>
        <w:rPr>
          <w:rFonts w:ascii="Arial" w:hAnsi="Arial" w:cs="Arial"/>
        </w:rPr>
        <w:t>42. التعاملات مع الأطراف ذات العلاقة</w:t>
      </w:r>
    </w:p>
    <w:p>
      <w:pPr>
        <w:pStyle w:val="ListBullet"/>
        <w:spacing w:after="40"/>
        <w:ind w:left="288" w:right="360"/>
        <w:jc w:val="right"/>
        <w:bidi w:val="1"/>
      </w:pPr>
      <w:r>
        <w:rPr>
          <w:rFonts w:ascii="Arial" w:hAnsi="Arial" w:cs="Arial"/>
          <w:sz w:val="20"/>
        </w:rPr>
        <w:t>يفصح عضو المجلس أو الموظف عن العلاقة والمصلحة قبل المناقشة أو الطلب.</w:t>
      </w:r>
    </w:p>
    <w:p>
      <w:pPr>
        <w:pStyle w:val="ListBullet"/>
        <w:spacing w:after="40"/>
        <w:ind w:left="288" w:right="360"/>
        <w:jc w:val="right"/>
        <w:bidi w:val="1"/>
      </w:pPr>
      <w:r>
        <w:rPr>
          <w:rFonts w:ascii="Arial" w:hAnsi="Arial" w:cs="Arial"/>
          <w:sz w:val="20"/>
        </w:rPr>
        <w:t>يستبعد صاحب التعارض من التقييم والتوصية والاعتماد والمراجعة.</w:t>
      </w:r>
    </w:p>
    <w:p>
      <w:pPr>
        <w:pStyle w:val="ListBullet"/>
        <w:spacing w:after="40"/>
        <w:ind w:left="288" w:right="360"/>
        <w:jc w:val="right"/>
        <w:bidi w:val="1"/>
      </w:pPr>
      <w:r>
        <w:rPr>
          <w:rFonts w:ascii="Arial" w:hAnsi="Arial" w:cs="Arial"/>
          <w:sz w:val="20"/>
        </w:rPr>
        <w:t>تخضع العملية لسعر وشروط عادلة ومقارنة مناسبة واعتماد الجهة غير المتعارضة.</w:t>
      </w:r>
    </w:p>
    <w:p>
      <w:pPr>
        <w:pStyle w:val="ListBullet"/>
        <w:spacing w:after="40"/>
        <w:ind w:left="288" w:right="360"/>
        <w:jc w:val="right"/>
        <w:bidi w:val="1"/>
      </w:pPr>
      <w:r>
        <w:rPr>
          <w:rFonts w:ascii="Arial" w:hAnsi="Arial" w:cs="Arial"/>
          <w:sz w:val="20"/>
        </w:rPr>
        <w:t>تفصح التعاملات في القوائم والسجلات وفق المعايير والأنظمة، وتحفظ في سجل تعارض المصالح.</w:t>
      </w:r>
    </w:p>
    <w:p>
      <w:pPr>
        <w:pStyle w:val="Heading1"/>
        <w:jc w:val="right"/>
        <w:keepNext/>
        <w:bidi w:val="1"/>
      </w:pPr>
      <w:r>
        <w:rPr>
          <w:rFonts w:ascii="Arial" w:hAnsi="Arial" w:cs="Arial"/>
        </w:rPr>
        <w:t>الباب الثالث عشر: السجلات والأنظمة والخصوصية</w:t>
      </w:r>
    </w:p>
    <w:p>
      <w:pPr>
        <w:pStyle w:val="Heading2"/>
        <w:jc w:val="right"/>
        <w:keepNext/>
        <w:bidi w:val="1"/>
      </w:pPr>
      <w:r>
        <w:rPr>
          <w:rFonts w:ascii="Arial" w:hAnsi="Arial" w:cs="Arial"/>
        </w:rPr>
        <w:t>43. حفظ السجلات المالية</w:t>
      </w:r>
    </w:p>
    <w:p>
      <w:pPr>
        <w:spacing w:after="80"/>
        <w:jc w:val="right"/>
        <w:bidi w:val="1"/>
      </w:pPr>
      <w:r>
        <w:rPr>
          <w:rFonts w:ascii="Arial" w:hAnsi="Arial" w:cs="Arial"/>
          <w:b w:val="0"/>
          <w:color w:val="A9322D"/>
        </w:rPr>
        <w:t>تحتفظ الجمعية بالسجلات والمستندات المالية وملفات الحسابات والمراسلات المالية وبيانات الهويات للفئات التي تحددها اللائحة لمدة لا تقل عن عشر سنوات من تاريخ انتهاء التعامل. ويجوز الحفظ إلكترونيًا مع تطبيق ضوابط الحماية التقنية. وتطبق مدة أطول إذا ألزم نظام خاص أو عقد أو نزاع أو تحقيق.</w:t>
      </w:r>
    </w:p>
    <w:p>
      <w:pPr>
        <w:pStyle w:val="ListBullet"/>
        <w:spacing w:after="40"/>
        <w:ind w:left="288" w:right="360"/>
        <w:jc w:val="right"/>
        <w:bidi w:val="1"/>
      </w:pPr>
      <w:r>
        <w:rPr>
          <w:rFonts w:ascii="Arial" w:hAnsi="Arial" w:cs="Arial"/>
          <w:sz w:val="20"/>
        </w:rPr>
        <w:t>تشمل السجلات - بحسب الانطباق - القيود والفواتير والإيصالات والبنوك والعقود والرواتب والمنح والأصول والجرد والتقارير والمراجعة والاعتمادات.</w:t>
      </w:r>
    </w:p>
    <w:p>
      <w:pPr>
        <w:pStyle w:val="ListBullet"/>
        <w:spacing w:after="40"/>
        <w:ind w:left="288" w:right="360"/>
        <w:jc w:val="right"/>
        <w:bidi w:val="1"/>
      </w:pPr>
      <w:r>
        <w:rPr>
          <w:rFonts w:ascii="Arial" w:hAnsi="Arial" w:cs="Arial"/>
          <w:sz w:val="20"/>
        </w:rPr>
        <w:t>لا تتلف وثيقة عليها تحفظ قانوني أو تدقيق أو شكوى أو تحقيق حتى إغلاق السبب ولو انتهت المدة.</w:t>
      </w:r>
    </w:p>
    <w:p>
      <w:pPr>
        <w:pStyle w:val="ListBullet"/>
        <w:spacing w:after="40"/>
        <w:ind w:left="288" w:right="360"/>
        <w:jc w:val="right"/>
        <w:bidi w:val="1"/>
      </w:pPr>
      <w:r>
        <w:rPr>
          <w:rFonts w:ascii="Arial" w:hAnsi="Arial" w:cs="Arial"/>
          <w:sz w:val="20"/>
        </w:rPr>
        <w:t>يتم الإتلاف بمحضر وقائمة وتصديق صاحب الصلاحية وبطريقة تمنع الاسترجاع غير المصرح.</w:t>
      </w:r>
    </w:p>
    <w:p>
      <w:pPr>
        <w:pStyle w:val="ListBullet"/>
        <w:spacing w:after="40"/>
        <w:ind w:left="288" w:right="360"/>
        <w:jc w:val="right"/>
        <w:bidi w:val="1"/>
      </w:pPr>
      <w:r>
        <w:rPr>
          <w:rFonts w:ascii="Arial" w:hAnsi="Arial" w:cs="Arial"/>
          <w:sz w:val="20"/>
        </w:rPr>
        <w:t>تطبق سياسة حفظ السجلات جدولًا تفصيليًا، وتقدم المدة الأعلى عند التعارض.</w:t>
      </w:r>
    </w:p>
    <w:p>
      <w:pPr>
        <w:pStyle w:val="Heading2"/>
        <w:jc w:val="right"/>
        <w:keepNext/>
        <w:bidi w:val="1"/>
      </w:pPr>
      <w:r>
        <w:rPr>
          <w:rFonts w:ascii="Arial" w:hAnsi="Arial" w:cs="Arial"/>
        </w:rPr>
        <w:t>44. صلاحيات النظام وأمن المعلومات</w:t>
      </w:r>
    </w:p>
    <w:p>
      <w:pPr>
        <w:pStyle w:val="ListBullet"/>
        <w:spacing w:after="40"/>
        <w:ind w:left="288" w:right="360"/>
        <w:jc w:val="right"/>
        <w:bidi w:val="1"/>
      </w:pPr>
      <w:r>
        <w:rPr>
          <w:rFonts w:ascii="Arial" w:hAnsi="Arial" w:cs="Arial"/>
          <w:sz w:val="20"/>
        </w:rPr>
        <w:t>تعتمد حسابات فردية وصلاحيات على أساس الحاجة والفصل، وتحظر الحسابات المشتركة إلا لضرورة تقنية موثقة بضوابط.</w:t>
      </w:r>
    </w:p>
    <w:p>
      <w:pPr>
        <w:pStyle w:val="ListBullet"/>
        <w:spacing w:after="40"/>
        <w:ind w:left="288" w:right="360"/>
        <w:jc w:val="right"/>
        <w:bidi w:val="1"/>
      </w:pPr>
      <w:r>
        <w:rPr>
          <w:rFonts w:ascii="Arial" w:hAnsi="Arial" w:cs="Arial"/>
          <w:sz w:val="20"/>
        </w:rPr>
        <w:t>تراجع الصلاحيات ربع سنويًا وعند النقل أو الانتهاء، وتلغى فورًا عند انتهاء الحاجة.</w:t>
      </w:r>
    </w:p>
    <w:p>
      <w:pPr>
        <w:pStyle w:val="ListBullet"/>
        <w:spacing w:after="40"/>
        <w:ind w:left="288" w:right="360"/>
        <w:jc w:val="right"/>
        <w:bidi w:val="1"/>
      </w:pPr>
      <w:r>
        <w:rPr>
          <w:rFonts w:ascii="Arial" w:hAnsi="Arial" w:cs="Arial"/>
          <w:sz w:val="20"/>
        </w:rPr>
        <w:t>تسجل عمليات الإنشاء والتعديل والحذف والاعتماد، وتحفظ سجلات التدقيق ولا تمكن من يعدل العملية من حذف أثرها.</w:t>
      </w:r>
    </w:p>
    <w:p>
      <w:pPr>
        <w:pStyle w:val="ListBullet"/>
        <w:spacing w:after="40"/>
        <w:ind w:left="288" w:right="360"/>
        <w:jc w:val="right"/>
        <w:bidi w:val="1"/>
      </w:pPr>
      <w:r>
        <w:rPr>
          <w:rFonts w:ascii="Arial" w:hAnsi="Arial" w:cs="Arial"/>
          <w:sz w:val="20"/>
        </w:rPr>
        <w:t>تنفذ نسخ احتياطية مشفرة واختبارات استعادة وخطة طوارئ، وتحفظ نسخة منفصلة آمنة.</w:t>
      </w:r>
    </w:p>
    <w:p>
      <w:pPr>
        <w:pStyle w:val="ListBullet"/>
        <w:spacing w:after="40"/>
        <w:ind w:left="288" w:right="360"/>
        <w:jc w:val="right"/>
        <w:bidi w:val="1"/>
      </w:pPr>
      <w:r>
        <w:rPr>
          <w:rFonts w:ascii="Arial" w:hAnsi="Arial" w:cs="Arial"/>
          <w:sz w:val="20"/>
        </w:rPr>
        <w:t>تطبق سياسة خصوصية البيانات على ملفات العاملين والمتبرعين والمستفيدين والموردين، ويقتصر النشر على اللازم.</w:t>
      </w:r>
    </w:p>
    <w:p>
      <w:pPr>
        <w:pStyle w:val="Heading1"/>
        <w:jc w:val="right"/>
        <w:keepNext/>
        <w:bidi w:val="1"/>
      </w:pPr>
      <w:r>
        <w:rPr>
          <w:rFonts w:ascii="Arial" w:hAnsi="Arial" w:cs="Arial"/>
        </w:rPr>
        <w:t>الباب الرابع عشر: أحكام ختامية</w:t>
      </w:r>
    </w:p>
    <w:p>
      <w:pPr>
        <w:pStyle w:val="Heading2"/>
        <w:jc w:val="right"/>
        <w:keepNext/>
        <w:bidi w:val="1"/>
      </w:pPr>
      <w:r>
        <w:rPr>
          <w:rFonts w:ascii="Arial" w:hAnsi="Arial" w:cs="Arial"/>
        </w:rPr>
        <w:t>45. الاستثناءات</w:t>
      </w:r>
    </w:p>
    <w:p>
      <w:pPr>
        <w:spacing w:after="80"/>
        <w:jc w:val="right"/>
        <w:bidi w:val="1"/>
      </w:pPr>
      <w:r>
        <w:rPr>
          <w:rFonts w:ascii="Arial" w:hAnsi="Arial" w:cs="Arial"/>
          <w:b w:val="0"/>
        </w:rPr>
        <w:t>لا يمنح استثناء يخالف نظامًا أو اختصاصًا محجوزًا. ويكون الاستثناء التشغيلي مكتوبًا ومسببًا ومحدد العملية والمدة والأثر والضابط التعويضي، ويعتمده مستوى أعلى من صاحب الصلاحية العادية، ويسجل ويراجع دوريًا. ولا تستخدم الاستثناءات المتكررة بدل تحديث السياسة أو المصفوفة.</w:t>
      </w:r>
    </w:p>
    <w:p>
      <w:pPr>
        <w:pStyle w:val="Heading2"/>
        <w:jc w:val="right"/>
        <w:keepNext/>
        <w:bidi w:val="1"/>
      </w:pPr>
      <w:r>
        <w:rPr>
          <w:rFonts w:ascii="Arial" w:hAnsi="Arial" w:cs="Arial"/>
        </w:rPr>
        <w:t>46. المخالفات</w:t>
      </w:r>
    </w:p>
    <w:p>
      <w:pPr>
        <w:spacing w:after="80"/>
        <w:jc w:val="right"/>
        <w:bidi w:val="1"/>
      </w:pPr>
      <w:r>
        <w:rPr>
          <w:rFonts w:ascii="Arial" w:hAnsi="Arial" w:cs="Arial"/>
          <w:b w:val="0"/>
        </w:rPr>
        <w:t>يترتب على مخالفة السياسة الإجراء الإداري أو التعاقدي أو النظامي المناسب وفق طبيعة العلاقة ونظام العمل واللوائح والعقود، مع استرداد المبالغ ومعالجة الأثر والإبلاغ للجهة المختصة عند اللزوم، ودون إخلال بحقوق الدفاع والتحقق العادل.</w:t>
      </w:r>
    </w:p>
    <w:p>
      <w:pPr>
        <w:pStyle w:val="Heading2"/>
        <w:jc w:val="right"/>
        <w:keepNext/>
        <w:bidi w:val="1"/>
      </w:pPr>
      <w:r>
        <w:rPr>
          <w:rFonts w:ascii="Arial" w:hAnsi="Arial" w:cs="Arial"/>
        </w:rPr>
        <w:t>47. المراجعة والنفاذ</w:t>
      </w:r>
    </w:p>
    <w:p>
      <w:pPr>
        <w:spacing w:after="80"/>
        <w:jc w:val="right"/>
        <w:bidi w:val="1"/>
      </w:pPr>
      <w:r>
        <w:rPr>
          <w:rFonts w:ascii="Arial" w:hAnsi="Arial" w:cs="Arial"/>
          <w:b w:val="0"/>
        </w:rPr>
        <w:t>تراجع السياسة سنويًا أو عند تغير اللائحة التنفيذية أو المعايير المحاسبية أو الهيكل أو مصفوفة الصلاحيات. ويعمل بها من تاريخ اعتمادها، وتحل محل النسخ السابقة في نطاقها. ولا تصبح أي سقوف أو أسماء مخولين نافذة إلا بقرار مستقل أو مصفوفة معتمدة.</w:t>
      </w:r>
    </w:p>
    <w:p>
      <w:pPr>
        <w:pStyle w:val="Heading1"/>
        <w:jc w:val="right"/>
        <w:keepNext/>
        <w:pageBreakBefore/>
        <w:bidi w:val="1"/>
      </w:pPr>
      <w:r>
        <w:rPr>
          <w:rFonts w:ascii="Arial" w:hAnsi="Arial" w:cs="Arial"/>
        </w:rPr>
        <w:t>الملحق (1): قائمة تحقق طلب الصرف</w:t>
      </w:r>
    </w:p>
    <w:tbl>
      <w:tblPr>
        <w:tblStyle w:val="TableGrid"/>
        <w:tblW w:type="dxa" w:w="8500"/>
        <w:jc w:val="center"/>
        <w:tblLayout w:type="fixed"/>
        <w:tblLook w:firstColumn="1" w:firstRow="1" w:lastColumn="0" w:lastRow="0" w:noHBand="0" w:noVBand="1" w:val="04A0"/>
        <w:tblInd w:w="0" w:type="dxa"/>
        <w:bidiVisual/>
      </w:tblPr>
      <w:tblGrid>
        <w:gridCol w:w="500"/>
        <w:gridCol w:w="4300"/>
        <w:gridCol w:w="1900"/>
        <w:gridCol w:w="1800"/>
      </w:tblGrid>
      <w:tr>
        <w:trPr>
          <w:tblHeader w:val="true"/>
          <w:cantSplit/>
        </w:trPr>
        <w:tc>
          <w:tcPr>
            <w:tcW w:type="dxa" w:w="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م</w:t>
            </w:r>
          </w:p>
        </w:tc>
        <w:tc>
          <w:tcPr>
            <w:tcW w:type="dxa" w:w="4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5"/>
              </w:rPr>
              <w:t>بند التحقق</w:t>
            </w:r>
          </w:p>
        </w:tc>
        <w:tc>
          <w:tcPr>
            <w:tcW w:type="dxa" w:w="1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الحالة</w:t>
            </w:r>
          </w:p>
        </w:tc>
        <w:tc>
          <w:tcPr>
            <w:tcW w:type="dxa" w:w="1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5"/>
              </w:rPr>
              <w:t>الملاحظة</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الطلب مرتبط بنشاط الجمعية ومبرر</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2</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الاعتماد متاح في الموازنة ومركز التكلفة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3</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طريقة الشراء والمورد معتمدان</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4</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العقد/أمر الشراء مكتمل قبل التوريد</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5</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الاستلام موثق من المختص</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6</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الفاتورة/المستند صحيح وغير مكرر</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7</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بيانات الحساب مطابقة ومتحقق منها</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8</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الموافقات وفق مصفوفة الصلاحيات</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9</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الضريبة/الاستقطاع عولجا عند الانطباق</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10</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لا يوجد تعارض مصالح غير معالج</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11</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الدفعة السابقة/المقدمة سويت عند اللزوم</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12</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اكتمل تسجيل العملية وختمها كمدفوعة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مكتمل / غير مكتمل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bl>
    <w:p>
      <w:pPr>
        <w:pStyle w:val="Heading1"/>
        <w:jc w:val="right"/>
        <w:keepNext/>
        <w:bidi w:val="1"/>
      </w:pPr>
      <w:r>
        <w:rPr>
          <w:rFonts w:ascii="Arial" w:hAnsi="Arial" w:cs="Arial"/>
        </w:rPr>
        <w:t>الملحق (2): نموذج طلب وتسوية عهدة مؤقتة</w:t>
      </w:r>
    </w:p>
    <w:tbl>
      <w:tblPr>
        <w:tblStyle w:val="TableGrid"/>
        <w:tblW w:type="dxa" w:w="8500"/>
        <w:jc w:val="center"/>
        <w:tblLayout w:type="fixed"/>
        <w:tblLook w:firstColumn="1" w:firstRow="1" w:lastColumn="0" w:lastRow="0" w:noHBand="0" w:noVBand="1" w:val="04A0"/>
        <w:tblInd w:w="0" w:type="dxa"/>
        <w:bidiVisual/>
      </w:tblPr>
      <w:tblGrid>
        <w:gridCol w:w="1750"/>
        <w:gridCol w:w="2500"/>
        <w:gridCol w:w="1750"/>
        <w:gridCol w:w="2500"/>
      </w:tblGrid>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اسم مستلم العهدة</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الإدارة/الوحدة</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الغرض</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المشروع/مركز التكلفة</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المبلغ رقمًا</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المبلغ كتابة</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تاريخ الصرف</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تاريخ التسوية</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وسيلة الصرف</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تحويل / أخرى</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رقم الطلب</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إجمالي المصروف</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الرصيد المعاد</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مراجعة المستندات</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مكتملة / ناقصة</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ملاحظات</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توصية الوحدة المالية</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قبول / استكمال / استرداد</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المراجع</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r>
        <w:trPr>
          <w:cantSplit/>
        </w:trPr>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اعتماد صاحب الصلاحية</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c>
          <w:tcPr>
            <w:tcW w:type="dxa" w:w="175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التاريخ</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6"/>
              </w:rPr>
              <w:t>........................</w:t>
            </w:r>
          </w:p>
        </w:tc>
      </w:tr>
    </w:tbl>
    <w:p>
      <w:pPr>
        <w:pStyle w:val="Heading1"/>
        <w:jc w:val="right"/>
        <w:keepNext/>
        <w:bidi w:val="1"/>
      </w:pPr>
      <w:r>
        <w:rPr>
          <w:rFonts w:ascii="Arial" w:hAnsi="Arial" w:cs="Arial"/>
        </w:rPr>
        <w:t>الملحق (3): نموذج فتح أو إغلاق حساب بنكي</w:t>
      </w:r>
    </w:p>
    <w:tbl>
      <w:tblPr>
        <w:tblStyle w:val="TableGrid"/>
        <w:tblW w:type="dxa" w:w="8500"/>
        <w:jc w:val="center"/>
        <w:tblLayout w:type="fixed"/>
        <w:tblLook w:firstColumn="1" w:firstRow="1" w:lastColumn="0" w:lastRow="0" w:noHBand="0" w:noVBand="1" w:val="04A0"/>
        <w:tblInd w:w="0" w:type="dxa"/>
        <w:bidiVisual/>
      </w:tblPr>
      <w:tblGrid>
        <w:gridCol w:w="3000"/>
        <w:gridCol w:w="5500"/>
      </w:tblGrid>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نوع الطلب</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فتح / إغلاق / تنشيط / تحديث بيانات</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اسم البنك ونوع الحساب</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الغرض والحاجة</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القرار المرجعي</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رقم: ........................  تاريخ: ........................</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المخولون المقترحون</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آلية التوقيع المشترك</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موافقة المركز عند اللزوم</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رقم/تاريخ: ..................................................................</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الحساب المحول إليه الرصيد عند الإغلاق</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w:t>
            </w:r>
          </w:p>
        </w:tc>
      </w:tr>
      <w:tr>
        <w:trPr>
          <w:cantSplit/>
        </w:trPr>
        <w:tc>
          <w:tcPr>
            <w:tcW w:type="dxa" w:w="3000"/>
            <w:shd w:fill="EAF6F4"/>
            <w:tcMar>
              <w:top w:w="90" w:type="dxa"/>
              <w:start w:w="110" w:type="dxa"/>
              <w:bottom w:w="90" w:type="dxa"/>
              <w:end w:w="110" w:type="dxa"/>
            </w:tcMar>
            <w:vAlign w:val="center"/>
          </w:tcPr>
          <w:p>
            <w:pPr>
              <w:spacing w:before="40" w:after="40"/>
              <w:jc w:val="right"/>
              <w:bidi w:val="1"/>
            </w:pPr>
            <w:r>
              <w:rPr>
                <w:rFonts w:ascii="Arial" w:hAnsi="Arial" w:cs="Arial"/>
                <w:sz w:val="17"/>
              </w:rPr>
              <w:t>إقرار إيقاف الصلاحيات والأدوات القديمة</w:t>
            </w:r>
          </w:p>
        </w:tc>
        <w:tc>
          <w:tcPr>
            <w:tcW w:type="dxa" w:w="5500"/>
            <w:tcMar>
              <w:top w:w="90" w:type="dxa"/>
              <w:start w:w="110" w:type="dxa"/>
              <w:bottom w:w="90" w:type="dxa"/>
              <w:end w:w="110" w:type="dxa"/>
            </w:tcMar>
            <w:vAlign w:val="center"/>
          </w:tcPr>
          <w:p>
            <w:pPr>
              <w:spacing w:before="40" w:after="40"/>
              <w:jc w:val="right"/>
              <w:bidi w:val="1"/>
            </w:pPr>
            <w:r>
              <w:rPr>
                <w:rFonts w:ascii="Arial" w:hAnsi="Arial" w:cs="Arial"/>
                <w:sz w:val="17"/>
              </w:rPr>
              <w:t>تم / لا ينطبق  -  الملاحظات: ................................................</w:t>
            </w:r>
          </w:p>
        </w:tc>
      </w:tr>
    </w:tbl>
    <w:p>
      <w:pPr>
        <w:pStyle w:val="Heading1"/>
        <w:jc w:val="right"/>
        <w:keepNext/>
        <w:bidi w:val="1"/>
      </w:pPr>
      <w:r>
        <w:rPr>
          <w:rFonts w:ascii="Arial" w:hAnsi="Arial" w:cs="Arial"/>
        </w:rPr>
        <w:t>الملحق (4): قائمة تحقق الإقفال الشهري</w:t>
      </w:r>
    </w:p>
    <w:tbl>
      <w:tblPr>
        <w:tblStyle w:val="TableGrid"/>
        <w:tblW w:type="dxa" w:w="8500"/>
        <w:jc w:val="center"/>
        <w:tblLayout w:type="fixed"/>
        <w:tblLook w:firstColumn="1" w:firstRow="1" w:lastColumn="0" w:lastRow="0" w:noHBand="0" w:noVBand="1" w:val="04A0"/>
        <w:tblInd w:w="0" w:type="dxa"/>
        <w:bidiVisual/>
      </w:tblPr>
      <w:tblGrid>
        <w:gridCol w:w="500"/>
        <w:gridCol w:w="3400"/>
        <w:gridCol w:w="1700"/>
        <w:gridCol w:w="1400"/>
        <w:gridCol w:w="1500"/>
      </w:tblGrid>
      <w:tr>
        <w:trPr>
          <w:tblHeader w:val="true"/>
          <w:cantSplit/>
        </w:trPr>
        <w:tc>
          <w:tcPr>
            <w:tcW w:type="dxa" w:w="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م</w:t>
            </w:r>
          </w:p>
        </w:tc>
        <w:tc>
          <w:tcPr>
            <w:tcW w:type="dxa" w:w="3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5"/>
              </w:rPr>
              <w:t>الإجراء</w:t>
            </w:r>
          </w:p>
        </w:tc>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المسؤول</w:t>
            </w:r>
          </w:p>
        </w:tc>
        <w:tc>
          <w:tcPr>
            <w:tcW w:type="dxa" w:w="14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تاريخ الإنجاز</w:t>
            </w:r>
          </w:p>
        </w:tc>
        <w:tc>
          <w:tcPr>
            <w:tcW w:type="dxa" w:w="1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المراجع</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إقفال التحصيل والمدفوعات</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2</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تسوية جميع الحسابات البنكية</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3</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مطابقة العهد والسلف والذمم</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4</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إثبات المستحقات والمقدمات</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5</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مطابقة الرواتب والالتزامات النظامية</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6</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تحديث الأصول والاستهلاك والمخزون</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7</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مراجعة الأموال المقيدة والمنح</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8</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مراجعة القيود اليدوية والاستثناءات</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9</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تحليل الموازنة والسيولة والانحراف</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10</w:t>
            </w:r>
          </w:p>
        </w:tc>
        <w:tc>
          <w:tcPr>
            <w:tcW w:type="dxa" w:w="3400"/>
            <w:tcMar>
              <w:top w:w="90" w:type="dxa"/>
              <w:start w:w="110" w:type="dxa"/>
              <w:bottom w:w="90" w:type="dxa"/>
              <w:end w:w="110" w:type="dxa"/>
            </w:tcMar>
            <w:vAlign w:val="center"/>
          </w:tcPr>
          <w:p>
            <w:pPr>
              <w:spacing w:before="40" w:after="40"/>
              <w:jc w:val="right"/>
              <w:bidi w:val="1"/>
            </w:pPr>
            <w:r>
              <w:rPr>
                <w:rFonts w:ascii="Arial" w:hAnsi="Arial" w:cs="Arial"/>
                <w:sz w:val="15"/>
              </w:rPr>
              <w:t>قفل الفترة وأرشفة ملف الإقفال</w:t>
            </w:r>
          </w:p>
        </w:tc>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5"/>
              </w:rPr>
              <w:t>................</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5"/>
              </w:rPr>
              <w:t>.. / .. / ....</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5"/>
              </w:rPr>
              <w:t>................</w:t>
            </w:r>
          </w:p>
        </w:tc>
      </w:tr>
    </w:tbl>
    <w:p>
      <w:pPr>
        <w:pStyle w:val="Heading1"/>
        <w:jc w:val="right"/>
        <w:keepNext/>
        <w:bidi w:val="1"/>
      </w:pPr>
      <w:r>
        <w:rPr>
          <w:rFonts w:ascii="Arial" w:hAnsi="Arial" w:cs="Arial"/>
        </w:rPr>
        <w:t>48. المرجعيات</w:t>
      </w:r>
    </w:p>
    <w:p>
      <w:pPr>
        <w:spacing w:after="80"/>
        <w:jc w:val="right"/>
        <w:bidi w:val="1"/>
      </w:pPr>
      <w:r>
        <w:rPr>
          <w:rFonts w:ascii="Arial" w:hAnsi="Arial" w:cs="Arial"/>
          <w:b w:val="0"/>
        </w:rPr>
        <w:t>نظام الجمعيات والمؤسسات الأهلية، واللائحة التنفيذية لنظام الجمعيات والمؤسسات الأهلية - النسخة النافذة، واللائحة الأساسية للجمعية، وقواعد حوكمة الجمعيات والمؤسسات الأهلية، والمعايير المحاسبية المعتمدة للمنشآت غير الهادفة للربح، والدليل المحاسبي الموحد للجمعيات الأهلية، ونظام جمع التبرعات ولائحته التنفيذية عند الانطباق، وأنظمة مكافحة غسل الأموال وتمويل الإرهاب والضرائب والعمل وحماية البيانات، ومصفوفة الصلاحيات وسياسات الجمعية المعتمدة.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4"/>
        </w:rPr>
        <w:t>السياسة المالية</w:t>
      </w:r>
    </w:p>
    <w:p>
      <w:pPr>
        <w:spacing w:after="320"/>
        <w:jc w:val="center"/>
        <w:bidi w:val="1"/>
      </w:pPr>
      <w:r>
        <w:rPr>
          <w:rFonts w:ascii="Arial" w:hAnsi="Arial" w:cs="Arial"/>
          <w:b w:val="0"/>
        </w:rPr>
        <w:t>اعتمد مجلس إدارة جمعية البلسم للتدريب والتطوير الصحي هذه السياسة وملحقاتها، ويبدأ العمل بها من تاريخ النفاذ المحدد أدناه، وتحل محل النسخ السابقة في نطاقها. وتبقى السقوف وأصحاب الصلاحية وفق مصفوفة الصلاحيات المعتمدة وقرار اعتمادها.</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قرار مجلس الإدارة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القرار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هـ   الموافق   ........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الإصدار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النفاذ</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دورية المراجعة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سنويًا أو عند تغير المتطلبات النظامية أو الصلاحيات</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pStyle w:val="Heading1"/>
        <w:jc w:val="right"/>
        <w:keepNext/>
        <w:bidi/>
      </w:pPr>
      <w:r>
        <w:rPr>
          <w:rFonts w:ascii="Arial" w:hAnsi="Arial" w:cs="Arial"/>
          <w:b/>
          <w:color w:val="124D67"/>
          <w:sz w:val="32"/>
        </w:rPr>
        <w:t>الأحكام التنفيذية للصرف والشراء</w:t>
      </w:r>
    </w:p>
    <w:p>
      <w:pPr>
        <w:pStyle w:val="ListBullet"/>
        <w:spacing w:after="60"/>
        <w:jc w:val="right"/>
        <w:bidi/>
      </w:pPr>
      <w:r>
        <w:rPr>
          <w:rFonts w:ascii="Arial" w:hAnsi="Arial" w:cs="Arial"/>
          <w:b w:val="0"/>
          <w:color w:val="173642"/>
          <w:sz w:val="20"/>
        </w:rPr>
        <w:t>يعد ملحق السقوف المالية في مصفوفة الصلاحيات المرجع الوحيد للقيم وحدود الاعتماد.</w:t>
      </w:r>
    </w:p>
    <w:p>
      <w:pPr>
        <w:pStyle w:val="ListBullet"/>
        <w:spacing w:after="60"/>
        <w:jc w:val="right"/>
        <w:bidi/>
      </w:pPr>
      <w:r>
        <w:rPr>
          <w:rFonts w:ascii="Arial" w:hAnsi="Arial" w:cs="Arial"/>
          <w:b w:val="0"/>
          <w:color w:val="173642"/>
          <w:sz w:val="20"/>
        </w:rPr>
        <w:t>لا يعتمد الصرف إذا كان الالتزام أو الترسية قد تمّا خارج طريقة الشراء أو صاحب الصلاحية المحدد بالمصفوفة.</w:t>
      </w:r>
    </w:p>
    <w:p>
      <w:pPr>
        <w:pStyle w:val="ListBullet"/>
        <w:spacing w:after="60"/>
        <w:jc w:val="right"/>
        <w:bidi/>
      </w:pPr>
      <w:r>
        <w:t>عند التعارض بين الوثائق أو غياب سقف مالي، يوقف الإجراء ويرفع إلى مجلس الإدارة، ولا تستنتج صلاحية ضمنية.</w:t>
      </w:r>
    </w:p>
    <w:p>
      <w:pPr>
        <w:spacing w:before="240" w:after="100"/>
        <w:jc w:val="right"/>
        <w:bidi w:val="1"/>
      </w:pPr>
      <w:r>
        <w:rPr>
          <w:rFonts w:ascii="Arial" w:hAnsi="Arial" w:cs="Arial"/>
          <w:b/>
          <w:color w:val="1F4E78"/>
          <w:sz w:val="28"/>
        </w:rPr>
        <w:t>مرجعية الصلاحيات</w:t>
      </w:r>
    </w:p>
    <w:p>
      <w:pPr>
        <w:spacing w:after="120"/>
        <w:jc w:val="right"/>
        <w:bidi w:val="1"/>
      </w:pPr>
      <w:r>
        <w:rPr>
          <w:rFonts w:ascii="Arial" w:hAnsi="Arial" w:cs="Arial"/>
          <w:b w:val="0"/>
          <w:color w:val="000000"/>
          <w:sz w:val="22"/>
        </w:rPr>
        <w:t>تعد مصفوفة الصلاحيات مع السقوف المالية المعتمدة وقرار اعتمادها المرجع الملزم لأصحاب الاعتماد والمراجعة والتوصية والتنفيذ والإحاطة. وعند التعارض يقدم حكم المصفوفة في حدود توزيع الصلاحيات، ولا ينشأ عن هذه الوثيقة تفويض أو سقف ضمني.</w:t>
      </w:r>
    </w:p>
    <w:p>
      <w:r>
        <w:br w:type="page"/>
      </w:r>
    </w:p>
    <w:p>
      <w:pPr>
        <w:jc w:val="center"/>
        <w:bidi w:val="1"/>
      </w:pPr>
      <w:r>
        <w:rPr>
          <w:rFonts w:ascii="Arial" w:hAnsi="Arial" w:cs="Arial"/>
          <w:b/>
          <w:color w:val="1F4E78"/>
          <w:sz w:val="34"/>
        </w:rPr>
        <w:t>ملحق النماذج والسجلات</w:t>
      </w:r>
    </w:p>
    <w:p>
      <w:r>
        <w:br w:type="page"/>
      </w:r>
    </w:p>
    <w:p>
      <w:pPr>
        <w:spacing w:after="180"/>
        <w:jc w:val="center"/>
        <w:bidi w:val="1"/>
      </w:pPr>
      <w:r>
        <w:rPr>
          <w:rFonts w:ascii="Arial" w:hAnsi="Arial" w:cs="Arial"/>
          <w:b/>
          <w:color w:val="1F4E78"/>
          <w:sz w:val="30"/>
        </w:rPr>
        <w:t>FIN-F01 — نموذج طلب واعتماد صرف</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الجهة الطالبة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الغرض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البند ومركز التكلفة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القيمة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المستفيد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المستندات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توفر الاعتماد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التوصية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المراجعة المالية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FIN-F02 — نموذج طلب وتسوية عهدة مؤقتة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صاحب العهدة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الغرض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القيمة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الصرف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التسوية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المصروف الفعلي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المتبقي/المسترد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المستندات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المراجعة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FIN-F03 — نموذج فتح أو إغلاق حساب بنكي</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نوع الطلب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البنك</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الغرض</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العملة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المخولون</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حدود التعامل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قرار مجلس الإدارة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الموافقات اللازمة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التنفيذ</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FIN-R01 — سجل الحسابات البنكية والمخولين</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البنك</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رقم الحساب/الآيبان</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الغرض</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الحالة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المخولون</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نطاق التفويض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قرار الاعتماد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المراجعة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السياسة المالية النسخة النهائية</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