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6"/>
        </w:rPr>
        <w:t>إجراءات الوقاية من غسل الأموال وتمويل الإرهاب</w:t>
      </w:r>
    </w:p>
    <w:p>
      <w:pPr>
        <w:spacing w:after="320"/>
        <w:jc w:val="center"/>
        <w:bidi w:val="1"/>
      </w:pPr>
      <w:r>
        <w:rPr>
          <w:rFonts w:ascii="Arial" w:hAnsi="Arial" w:cs="Arial"/>
          <w:b/>
          <w:color w:val="A9322D"/>
          <w:sz w:val="28"/>
        </w:rPr>
        <w:t>جمعية البلسم للتدريب والتطوير الصحي</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tcMar>
              <w:top w:w="90" w:type="dxa"/>
              <w:start w:w="110" w:type="dxa"/>
              <w:bottom w:w="90" w:type="dxa"/>
              <w:end w:w="110" w:type="dxa"/>
            </w:tcMar>
            <w:shd w:fill="EAF6F4"/>
            <w:vAlign w:val="center"/>
          </w:tcPr>
          <w:p>
            <w:pPr>
              <w:jc w:val="center"/>
              <w:bidi w:val="1"/>
            </w:pPr>
            <w:r>
              <w:rPr>
                <w:rFonts w:ascii="Arial" w:hAnsi="Arial" w:cs="Arial"/>
                <w:b/>
                <w:color w:val="0B7F9E"/>
              </w:rPr>
              <w:t>رقم الوثيقة</w:t>
            </w:r>
          </w:p>
        </w:tc>
        <w:tc>
          <w:tcPr>
            <w:tcW w:type="dxa" w:w="6000"/>
            <w:tcMar>
              <w:top w:w="90" w:type="dxa"/>
              <w:start w:w="110" w:type="dxa"/>
              <w:bottom w:w="90" w:type="dxa"/>
              <w:end w:w="110" w:type="dxa"/>
            </w:tcMar>
            <w:vAlign w:val="center"/>
          </w:tcPr>
          <w:p>
            <w:pPr>
              <w:jc w:val="center"/>
              <w:bidi w:val="1"/>
            </w:pPr>
            <w:r>
              <w:rPr>
                <w:rFonts w:ascii="Arial" w:hAnsi="Arial" w:cs="Arial"/>
              </w:rPr>
              <w:t>م غ أ - 01</w:t>
            </w:r>
          </w:p>
        </w:tc>
      </w:tr>
      <w:tr>
        <w:trPr>
          <w:cantSplit/>
        </w:trPr>
        <w:tc>
          <w:tcPr>
            <w:tcW w:type="dxa" w:w="2500"/>
            <w:tcMar>
              <w:top w:w="90" w:type="dxa"/>
              <w:start w:w="110" w:type="dxa"/>
              <w:bottom w:w="90" w:type="dxa"/>
              <w:end w:w="110" w:type="dxa"/>
            </w:tcMar>
            <w:shd w:fill="EAF6F4"/>
            <w:vAlign w:val="center"/>
          </w:tcPr>
          <w:p>
            <w:pPr>
              <w:jc w:val="center"/>
              <w:bidi w:val="1"/>
            </w:pPr>
            <w:r>
              <w:rPr>
                <w:rFonts w:ascii="Arial" w:hAnsi="Arial" w:cs="Arial"/>
                <w:b/>
                <w:color w:val="0B7F9E"/>
              </w:rPr>
              <w:t>رقم الإصدار</w:t>
            </w:r>
          </w:p>
        </w:tc>
        <w:tc>
          <w:tcPr>
            <w:tcW w:type="dxa" w:w="6000"/>
            <w:tcMar>
              <w:top w:w="90" w:type="dxa"/>
              <w:start w:w="110" w:type="dxa"/>
              <w:bottom w:w="90" w:type="dxa"/>
              <w:end w:w="110" w:type="dxa"/>
            </w:tcMar>
            <w:vAlign w:val="center"/>
          </w:tcPr>
          <w:p>
            <w:pPr>
              <w:jc w:val="center"/>
              <w:bidi w:val="1"/>
            </w:pPr>
            <w:r>
              <w:rPr>
                <w:rFonts w:ascii="Arial" w:hAnsi="Arial" w:cs="Arial"/>
              </w:rPr>
              <w:t>........................</w:t>
            </w:r>
          </w:p>
        </w:tc>
      </w:tr>
      <w:tr>
        <w:trPr>
          <w:cantSplit/>
        </w:trPr>
        <w:tc>
          <w:tcPr>
            <w:tcW w:type="dxa" w:w="2500"/>
            <w:tcMar>
              <w:top w:w="90" w:type="dxa"/>
              <w:start w:w="110" w:type="dxa"/>
              <w:bottom w:w="90" w:type="dxa"/>
              <w:end w:w="110" w:type="dxa"/>
            </w:tcMar>
            <w:shd w:fill="EAF6F4"/>
            <w:vAlign w:val="center"/>
          </w:tcPr>
          <w:p>
            <w:pPr>
              <w:jc w:val="center"/>
              <w:bidi w:val="1"/>
            </w:pPr>
            <w:r>
              <w:rPr>
                <w:rFonts w:ascii="Arial" w:hAnsi="Arial" w:cs="Arial"/>
                <w:b/>
                <w:color w:val="0B7F9E"/>
              </w:rPr>
              <w:t>تاريخ الاعتماد</w:t>
            </w:r>
          </w:p>
        </w:tc>
        <w:tc>
          <w:tcPr>
            <w:tcW w:type="dxa" w:w="6000"/>
            <w:tcMar>
              <w:top w:w="90" w:type="dxa"/>
              <w:start w:w="110" w:type="dxa"/>
              <w:bottom w:w="90" w:type="dxa"/>
              <w:end w:w="110" w:type="dxa"/>
            </w:tcMar>
            <w:vAlign w:val="center"/>
          </w:tcPr>
          <w:p>
            <w:pPr>
              <w:jc w:val="center"/>
              <w:bidi w:val="1"/>
            </w:pPr>
            <w:r>
              <w:rPr>
                <w:rFonts w:ascii="Arial" w:hAnsi="Arial" w:cs="Arial"/>
              </w:rPr>
              <w:t>........................</w:t>
            </w:r>
          </w:p>
        </w:tc>
      </w:tr>
      <w:tr>
        <w:trPr>
          <w:cantSplit/>
        </w:trPr>
        <w:tc>
          <w:tcPr>
            <w:tcW w:type="dxa" w:w="2500"/>
            <w:tcMar>
              <w:top w:w="90" w:type="dxa"/>
              <w:start w:w="110" w:type="dxa"/>
              <w:bottom w:w="90" w:type="dxa"/>
              <w:end w:w="110" w:type="dxa"/>
            </w:tcMar>
            <w:shd w:fill="EAF6F4"/>
            <w:vAlign w:val="center"/>
          </w:tcPr>
          <w:p>
            <w:pPr>
              <w:jc w:val="center"/>
              <w:bidi w:val="1"/>
            </w:pPr>
            <w:r>
              <w:rPr>
                <w:rFonts w:ascii="Arial" w:hAnsi="Arial" w:cs="Arial"/>
                <w:b/>
                <w:color w:val="0B7F9E"/>
              </w:rPr>
              <w:t>تاريخ النفاذ</w:t>
            </w:r>
          </w:p>
        </w:tc>
        <w:tc>
          <w:tcPr>
            <w:tcW w:type="dxa" w:w="6000"/>
            <w:tcMar>
              <w:top w:w="90" w:type="dxa"/>
              <w:start w:w="110" w:type="dxa"/>
              <w:bottom w:w="90" w:type="dxa"/>
              <w:end w:w="110" w:type="dxa"/>
            </w:tcMar>
            <w:vAlign w:val="center"/>
          </w:tcPr>
          <w:p>
            <w:pPr>
              <w:jc w:val="center"/>
              <w:bidi w:val="1"/>
            </w:pPr>
            <w:r>
              <w:rPr>
                <w:rFonts w:ascii="Arial" w:hAnsi="Arial" w:cs="Arial"/>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مالك الوثيقة</w:t>
            </w:r>
          </w:p>
        </w:tc>
        <w:tc>
          <w:tcPr>
            <w:tcW w:type="dxa" w:w="5900"/>
            <w:tcMar>
              <w:top w:w="90" w:type="dxa"/>
              <w:start w:w="110" w:type="dxa"/>
              <w:bottom w:w="90" w:type="dxa"/>
              <w:end w:w="110" w:type="dxa"/>
            </w:tcMar>
          </w:tcPr>
          <w:p>
            <w:pPr>
              <w:jc w:val="right"/>
              <w:bidi w:val="1"/>
            </w:pPr>
            <w:r>
              <w:rPr>
                <w:rFonts w:ascii="Arial" w:hAnsi="Arial" w:cs="Arial"/>
              </w:rPr>
              <w:t>مجلس الإدارة</w:t>
            </w:r>
          </w:p>
        </w:tc>
      </w:tr>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جهة التنفيذ</w:t>
            </w:r>
          </w:p>
        </w:tc>
        <w:tc>
          <w:tcPr>
            <w:tcW w:type="dxa" w:w="5900"/>
            <w:tcMar>
              <w:top w:w="90" w:type="dxa"/>
              <w:start w:w="110" w:type="dxa"/>
              <w:bottom w:w="90" w:type="dxa"/>
              <w:end w:w="110" w:type="dxa"/>
            </w:tcMar>
          </w:tcPr>
          <w:p>
            <w:pPr>
              <w:jc w:val="right"/>
              <w:bidi w:val="1"/>
            </w:pPr>
            <w:r>
              <w:rPr>
                <w:rFonts w:ascii="Arial" w:hAnsi="Arial" w:cs="Arial"/>
              </w:rPr>
              <w:t>الإدارة التنفيذية والوحدات المالية والإدارية ذات العلاقة</w:t>
            </w:r>
          </w:p>
        </w:tc>
      </w:tr>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جهة المتابعة</w:t>
            </w:r>
          </w:p>
        </w:tc>
        <w:tc>
          <w:tcPr>
            <w:tcW w:type="dxa" w:w="5900"/>
            <w:tcMar>
              <w:top w:w="90" w:type="dxa"/>
              <w:start w:w="110" w:type="dxa"/>
              <w:bottom w:w="90" w:type="dxa"/>
              <w:end w:w="110" w:type="dxa"/>
            </w:tcMar>
          </w:tcPr>
          <w:p>
            <w:pPr>
              <w:jc w:val="right"/>
              <w:bidi w:val="1"/>
            </w:pPr>
            <w:r>
              <w:rPr>
                <w:rFonts w:ascii="Arial" w:hAnsi="Arial" w:cs="Arial"/>
              </w:rPr>
              <w:t>المكلف بأعمال التدقيق والمراجعة والالتزام وفق قرار مجلس الإدارة</w:t>
            </w:r>
          </w:p>
        </w:tc>
      </w:tr>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دورية المراجعة</w:t>
            </w:r>
          </w:p>
        </w:tc>
        <w:tc>
          <w:tcPr>
            <w:tcW w:type="dxa" w:w="5900"/>
            <w:tcMar>
              <w:top w:w="90" w:type="dxa"/>
              <w:start w:w="110" w:type="dxa"/>
              <w:bottom w:w="90" w:type="dxa"/>
              <w:end w:w="110" w:type="dxa"/>
            </w:tcMar>
          </w:tcPr>
          <w:p>
            <w:pPr>
              <w:jc w:val="right"/>
              <w:bidi w:val="1"/>
            </w:pPr>
            <w:r>
              <w:rPr>
                <w:rFonts w:ascii="Arial" w:hAnsi="Arial" w:cs="Arial"/>
              </w:rPr>
              <w:t>سنويًا أو عند تغير المخاطر أو المتطلبات النظامية</w:t>
            </w:r>
          </w:p>
        </w:tc>
      </w:tr>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درجة الإتاحة</w:t>
            </w:r>
          </w:p>
        </w:tc>
        <w:tc>
          <w:tcPr>
            <w:tcW w:type="dxa" w:w="5900"/>
            <w:tcMar>
              <w:top w:w="90" w:type="dxa"/>
              <w:start w:w="110" w:type="dxa"/>
              <w:bottom w:w="90" w:type="dxa"/>
              <w:end w:w="110" w:type="dxa"/>
            </w:tcMar>
          </w:tcPr>
          <w:p>
            <w:pPr>
              <w:jc w:val="right"/>
              <w:bidi w:val="1"/>
            </w:pPr>
            <w:r>
              <w:rPr>
                <w:rFonts w:ascii="Arial" w:hAnsi="Arial" w:cs="Arial"/>
              </w:rPr>
              <w:t>داخلية - لا تنشر الإجراءات التشغيلية أو مؤشرات الاشتباه التفصيلية</w:t>
            </w:r>
          </w:p>
        </w:tc>
      </w:tr>
    </w:tbl>
    <w:p>
      <w:pPr>
        <w:pStyle w:val="Heading1"/>
        <w:jc w:val="right"/>
        <w:keepNext/>
        <w:bidi w:val="1"/>
      </w:pPr>
      <w:r>
        <w:rPr>
          <w:rFonts w:ascii="Arial" w:hAnsi="Arial" w:cs="Arial"/>
        </w:rPr>
        <w:t>1. المقدمة</w:t>
      </w:r>
    </w:p>
    <w:p>
      <w:pPr>
        <w:spacing w:after="80"/>
        <w:jc w:val="right"/>
        <w:bidi w:val="1"/>
      </w:pPr>
      <w:r>
        <w:rPr>
          <w:rFonts w:ascii="Arial" w:hAnsi="Arial" w:cs="Arial"/>
          <w:b w:val="0"/>
        </w:rPr>
        <w:t>تضع هذه الإجراءات إطارًا وقائيًا يتناسب مع طبيعة جمعية أهلية غير ربحية للحد من مخاطر استغلال أنشطتها أو مواردها أو قنواتها في غسل الأموال أو تمويل الإرهاب، مع تطبيق تدابير متدرجة بحسب مستوى المخاطر.</w:t>
      </w:r>
    </w:p>
    <w:p>
      <w:pPr>
        <w:pStyle w:val="Heading1"/>
        <w:jc w:val="right"/>
        <w:keepNext/>
        <w:bidi w:val="1"/>
      </w:pPr>
      <w:r>
        <w:rPr>
          <w:rFonts w:ascii="Arial" w:hAnsi="Arial" w:cs="Arial"/>
        </w:rPr>
        <w:t>2. الأهداف</w:t>
      </w:r>
    </w:p>
    <w:p>
      <w:pPr>
        <w:pStyle w:val="ListBullet"/>
        <w:spacing w:after="40"/>
        <w:ind w:left="288" w:right="360"/>
        <w:jc w:val="right"/>
        <w:bidi w:val="1"/>
      </w:pPr>
      <w:r>
        <w:rPr>
          <w:rFonts w:ascii="Arial" w:hAnsi="Arial" w:cs="Arial"/>
          <w:sz w:val="20"/>
        </w:rPr>
        <w:t>تحديد المخاطر المرتبطة بالتبرعات والمستفيدين والموردين والشركاء والقنوات المالية.</w:t>
      </w:r>
    </w:p>
    <w:p>
      <w:pPr>
        <w:pStyle w:val="ListBullet"/>
        <w:spacing w:after="40"/>
        <w:ind w:left="288" w:right="360"/>
        <w:jc w:val="right"/>
        <w:bidi w:val="1"/>
      </w:pPr>
      <w:r>
        <w:rPr>
          <w:rFonts w:ascii="Arial" w:hAnsi="Arial" w:cs="Arial"/>
          <w:sz w:val="20"/>
        </w:rPr>
        <w:t>تطبيق عناية واجبة مناسبة قبل وأثناء العلاقة أو المعاملة.</w:t>
      </w:r>
    </w:p>
    <w:p>
      <w:pPr>
        <w:pStyle w:val="ListBullet"/>
        <w:spacing w:after="40"/>
        <w:ind w:left="288" w:right="360"/>
        <w:jc w:val="right"/>
        <w:bidi w:val="1"/>
      </w:pPr>
      <w:r>
        <w:rPr>
          <w:rFonts w:ascii="Arial" w:hAnsi="Arial" w:cs="Arial"/>
          <w:sz w:val="20"/>
        </w:rPr>
        <w:t>اكتشاف المؤشرات غير المعتادة وتصعيدها دون تأخير.</w:t>
      </w:r>
    </w:p>
    <w:p>
      <w:pPr>
        <w:pStyle w:val="ListBullet"/>
        <w:spacing w:after="40"/>
        <w:ind w:left="288" w:right="360"/>
        <w:jc w:val="right"/>
        <w:bidi w:val="1"/>
      </w:pPr>
      <w:r>
        <w:rPr>
          <w:rFonts w:ascii="Arial" w:hAnsi="Arial" w:cs="Arial"/>
          <w:sz w:val="20"/>
        </w:rPr>
        <w:t>تحديد المسؤوليات وحفظ السجلات ورفع مستوى الوعي والرقابة.</w:t>
      </w:r>
    </w:p>
    <w:p>
      <w:pPr>
        <w:pStyle w:val="Heading1"/>
        <w:jc w:val="right"/>
        <w:keepNext/>
        <w:bidi w:val="1"/>
      </w:pPr>
      <w:r>
        <w:rPr>
          <w:rFonts w:ascii="Arial" w:hAnsi="Arial" w:cs="Arial"/>
        </w:rPr>
        <w:t>3. نطاق التطبيق</w:t>
      </w:r>
    </w:p>
    <w:p>
      <w:pPr>
        <w:spacing w:after="80"/>
        <w:jc w:val="right"/>
        <w:bidi w:val="1"/>
      </w:pPr>
      <w:r>
        <w:rPr>
          <w:rFonts w:ascii="Arial" w:hAnsi="Arial" w:cs="Arial"/>
          <w:b w:val="0"/>
        </w:rPr>
        <w:t>تسري الإجراءات على مجلس الإدارة والإدارة التنفيذية والعاملين والمتطوعين ذوي العلاقة، وعلى التبرعات والحملات والخدمات والمساعدات والمشتريات والعقود والشراكات والتحويلات والحسابات البنكية والقنوات الإلكترونية.</w:t>
      </w:r>
    </w:p>
    <w:p>
      <w:pPr>
        <w:pStyle w:val="Heading1"/>
        <w:jc w:val="right"/>
        <w:keepNext/>
        <w:bidi w:val="1"/>
      </w:pPr>
      <w:r>
        <w:rPr>
          <w:rFonts w:ascii="Arial" w:hAnsi="Arial" w:cs="Arial"/>
        </w:rPr>
        <w:t>4. المصطلحات</w:t>
      </w:r>
    </w:p>
    <w:tbl>
      <w:tblPr>
        <w:tblStyle w:val="TableGrid"/>
        <w:tblW w:type="dxa" w:w="8500"/>
        <w:jc w:val="center"/>
        <w:tblLayout w:type="fixed"/>
        <w:tblLook w:firstColumn="1" w:firstRow="1" w:lastColumn="0" w:lastRow="0" w:noHBand="0" w:noVBand="1" w:val="04A0"/>
        <w:tblInd w:w="0" w:type="dxa"/>
        <w:bidiVisual/>
      </w:tblPr>
      <w:tblGrid>
        <w:gridCol w:w="2100"/>
        <w:gridCol w:w="6400"/>
      </w:tblGrid>
      <w:tr>
        <w:trPr>
          <w:cantSplit/>
        </w:trPr>
        <w:tc>
          <w:tcPr>
            <w:tcW w:type="dxa" w:w="2100"/>
            <w:tcMar>
              <w:top w:w="90" w:type="dxa"/>
              <w:start w:w="110" w:type="dxa"/>
              <w:bottom w:w="90" w:type="dxa"/>
              <w:end w:w="110" w:type="dxa"/>
            </w:tcMar>
            <w:shd w:fill="EAF6F4"/>
          </w:tcPr>
          <w:p>
            <w:pPr>
              <w:jc w:val="right"/>
              <w:bidi w:val="1"/>
            </w:pPr>
            <w:r>
              <w:rPr>
                <w:rFonts w:ascii="Arial" w:hAnsi="Arial" w:cs="Arial"/>
                <w:b/>
                <w:color w:val="0B7F9E"/>
              </w:rPr>
              <w:t>المتعامل</w:t>
            </w:r>
          </w:p>
        </w:tc>
        <w:tc>
          <w:tcPr>
            <w:tcW w:type="dxa" w:w="6400"/>
            <w:tcMar>
              <w:top w:w="90" w:type="dxa"/>
              <w:start w:w="110" w:type="dxa"/>
              <w:bottom w:w="90" w:type="dxa"/>
              <w:end w:w="110" w:type="dxa"/>
            </w:tcMar>
          </w:tcPr>
          <w:p>
            <w:pPr>
              <w:jc w:val="right"/>
              <w:bidi w:val="1"/>
            </w:pPr>
            <w:r>
              <w:rPr>
                <w:rFonts w:ascii="Arial" w:hAnsi="Arial" w:cs="Arial"/>
              </w:rPr>
              <w:t>كل متبرع أو مستفيد أو مورد أو متعاقد أو شريك أو شخص ذي صلة بمعاملة أو علاقة مع الجمعية.</w:t>
            </w:r>
          </w:p>
        </w:tc>
      </w:tr>
      <w:tr>
        <w:trPr>
          <w:cantSplit/>
        </w:trPr>
        <w:tc>
          <w:tcPr>
            <w:tcW w:type="dxa" w:w="2100"/>
            <w:tcMar>
              <w:top w:w="90" w:type="dxa"/>
              <w:start w:w="110" w:type="dxa"/>
              <w:bottom w:w="90" w:type="dxa"/>
              <w:end w:w="110" w:type="dxa"/>
            </w:tcMar>
            <w:shd w:fill="EAF6F4"/>
          </w:tcPr>
          <w:p>
            <w:pPr>
              <w:jc w:val="right"/>
              <w:bidi w:val="1"/>
            </w:pPr>
            <w:r>
              <w:rPr>
                <w:rFonts w:ascii="Arial" w:hAnsi="Arial" w:cs="Arial"/>
                <w:b/>
                <w:color w:val="0B7F9E"/>
              </w:rPr>
              <w:t>العناية الواجبة</w:t>
            </w:r>
          </w:p>
        </w:tc>
        <w:tc>
          <w:tcPr>
            <w:tcW w:type="dxa" w:w="6400"/>
            <w:tcMar>
              <w:top w:w="90" w:type="dxa"/>
              <w:start w:w="110" w:type="dxa"/>
              <w:bottom w:w="90" w:type="dxa"/>
              <w:end w:w="110" w:type="dxa"/>
            </w:tcMar>
          </w:tcPr>
          <w:p>
            <w:pPr>
              <w:jc w:val="right"/>
              <w:bidi w:val="1"/>
            </w:pPr>
            <w:r>
              <w:rPr>
                <w:rFonts w:ascii="Arial" w:hAnsi="Arial" w:cs="Arial"/>
              </w:rPr>
              <w:t>إجراءات التحقق وفهم الغرض وطبيعة العلاقة وتقييم المخاطر ومتابعتها.</w:t>
            </w:r>
          </w:p>
        </w:tc>
      </w:tr>
      <w:tr>
        <w:trPr>
          <w:cantSplit/>
        </w:trPr>
        <w:tc>
          <w:tcPr>
            <w:tcW w:type="dxa" w:w="2100"/>
            <w:tcMar>
              <w:top w:w="90" w:type="dxa"/>
              <w:start w:w="110" w:type="dxa"/>
              <w:bottom w:w="90" w:type="dxa"/>
              <w:end w:w="110" w:type="dxa"/>
            </w:tcMar>
            <w:shd w:fill="EAF6F4"/>
          </w:tcPr>
          <w:p>
            <w:pPr>
              <w:jc w:val="right"/>
              <w:bidi w:val="1"/>
            </w:pPr>
            <w:r>
              <w:rPr>
                <w:rFonts w:ascii="Arial" w:hAnsi="Arial" w:cs="Arial"/>
                <w:b/>
                <w:color w:val="0B7F9E"/>
              </w:rPr>
              <w:t>المستفيد الحقيقي</w:t>
            </w:r>
          </w:p>
        </w:tc>
        <w:tc>
          <w:tcPr>
            <w:tcW w:type="dxa" w:w="6400"/>
            <w:tcMar>
              <w:top w:w="90" w:type="dxa"/>
              <w:start w:w="110" w:type="dxa"/>
              <w:bottom w:w="90" w:type="dxa"/>
              <w:end w:w="110" w:type="dxa"/>
            </w:tcMar>
          </w:tcPr>
          <w:p>
            <w:pPr>
              <w:jc w:val="right"/>
              <w:bidi w:val="1"/>
            </w:pPr>
            <w:r>
              <w:rPr>
                <w:rFonts w:ascii="Arial" w:hAnsi="Arial" w:cs="Arial"/>
              </w:rPr>
              <w:t>الشخص الطبيعي الذي يملك أو يسيطر فعليًا على شخص اعتباري أو تتم المعاملة لمصلحته، عند الانطباق.</w:t>
            </w:r>
          </w:p>
        </w:tc>
      </w:tr>
      <w:tr>
        <w:trPr>
          <w:cantSplit/>
        </w:trPr>
        <w:tc>
          <w:tcPr>
            <w:tcW w:type="dxa" w:w="2100"/>
            <w:tcMar>
              <w:top w:w="90" w:type="dxa"/>
              <w:start w:w="110" w:type="dxa"/>
              <w:bottom w:w="90" w:type="dxa"/>
              <w:end w:w="110" w:type="dxa"/>
            </w:tcMar>
            <w:shd w:fill="EAF6F4"/>
          </w:tcPr>
          <w:p>
            <w:pPr>
              <w:jc w:val="right"/>
              <w:bidi w:val="1"/>
            </w:pPr>
            <w:r>
              <w:rPr>
                <w:rFonts w:ascii="Arial" w:hAnsi="Arial" w:cs="Arial"/>
                <w:b/>
                <w:color w:val="0B7F9E"/>
              </w:rPr>
              <w:t>الاشتباه</w:t>
            </w:r>
          </w:p>
        </w:tc>
        <w:tc>
          <w:tcPr>
            <w:tcW w:type="dxa" w:w="6400"/>
            <w:tcMar>
              <w:top w:w="90" w:type="dxa"/>
              <w:start w:w="110" w:type="dxa"/>
              <w:bottom w:w="90" w:type="dxa"/>
              <w:end w:w="110" w:type="dxa"/>
            </w:tcMar>
          </w:tcPr>
          <w:p>
            <w:pPr>
              <w:jc w:val="right"/>
              <w:bidi w:val="1"/>
            </w:pPr>
            <w:r>
              <w:rPr>
                <w:rFonts w:ascii="Arial" w:hAnsi="Arial" w:cs="Arial"/>
              </w:rPr>
              <w:t>أسباب أو مؤشرات معقولة تدعو للاعتقاد بارتباط الأموال أو المعاملة بجريمة أو غسل أموال أو تمويل إرهاب.</w:t>
            </w:r>
          </w:p>
        </w:tc>
      </w:tr>
      <w:tr>
        <w:trPr>
          <w:cantSplit/>
        </w:trPr>
        <w:tc>
          <w:tcPr>
            <w:tcW w:type="dxa" w:w="2100"/>
            <w:tcMar>
              <w:top w:w="90" w:type="dxa"/>
              <w:start w:w="110" w:type="dxa"/>
              <w:bottom w:w="90" w:type="dxa"/>
              <w:end w:w="110" w:type="dxa"/>
            </w:tcMar>
            <w:shd w:fill="EAF6F4"/>
          </w:tcPr>
          <w:p>
            <w:pPr>
              <w:jc w:val="right"/>
              <w:bidi w:val="1"/>
            </w:pPr>
            <w:r>
              <w:rPr>
                <w:rFonts w:ascii="Arial" w:hAnsi="Arial" w:cs="Arial"/>
                <w:b/>
                <w:color w:val="0B7F9E"/>
              </w:rPr>
              <w:t>التنبيه المحظور</w:t>
            </w:r>
          </w:p>
        </w:tc>
        <w:tc>
          <w:tcPr>
            <w:tcW w:type="dxa" w:w="6400"/>
            <w:tcMar>
              <w:top w:w="90" w:type="dxa"/>
              <w:start w:w="110" w:type="dxa"/>
              <w:bottom w:w="90" w:type="dxa"/>
              <w:end w:w="110" w:type="dxa"/>
            </w:tcMar>
          </w:tcPr>
          <w:p>
            <w:pPr>
              <w:jc w:val="right"/>
              <w:bidi w:val="1"/>
            </w:pPr>
            <w:r>
              <w:rPr>
                <w:rFonts w:ascii="Arial" w:hAnsi="Arial" w:cs="Arial"/>
              </w:rPr>
              <w:t>إبلاغ الطرف محل الاشتباه أو أي غير مخول بوجود فحص أو بلاغ أو إجراء مرتبط به.</w:t>
            </w:r>
          </w:p>
        </w:tc>
      </w:tr>
    </w:tbl>
    <w:p>
      <w:pPr>
        <w:jc w:val="right"/>
        <w:bidi w:val="1"/>
      </w:pPr>
      <w:r>
        <w:rPr>
          <w:rFonts w:ascii="Arial" w:hAnsi="Arial" w:cs="Arial"/>
        </w:rPr>
        <w:br w:type="page"/>
      </w:r>
    </w:p>
    <w:p>
      <w:pPr>
        <w:pStyle w:val="Heading1"/>
        <w:jc w:val="right"/>
        <w:keepNext/>
        <w:bidi w:val="1"/>
      </w:pPr>
      <w:r>
        <w:rPr>
          <w:rFonts w:ascii="Arial" w:hAnsi="Arial" w:cs="Arial"/>
        </w:rPr>
        <w:t>5. الحوكمة والمسؤوليات</w:t>
      </w:r>
    </w:p>
    <w:p>
      <w:pPr>
        <w:pStyle w:val="ListBullet"/>
        <w:spacing w:after="40"/>
        <w:ind w:left="288" w:right="360"/>
        <w:jc w:val="right"/>
        <w:bidi w:val="1"/>
      </w:pPr>
      <w:r>
        <w:rPr>
          <w:rFonts w:ascii="Arial" w:hAnsi="Arial" w:cs="Arial"/>
          <w:sz w:val="20"/>
        </w:rPr>
        <w:t>مجلس الإدارة: اعتماد الإجراءات وتقييم المخاطر، وتكليف شاغل وظيفة قيادية أو جهة خارجية مرخصة بأعمال التدقيق والمراجعة والالتزام، وتوفير الموارد اللازمة.</w:t>
      </w:r>
    </w:p>
    <w:p>
      <w:pPr>
        <w:pStyle w:val="ListBullet"/>
        <w:spacing w:after="40"/>
        <w:ind w:left="288" w:right="360"/>
        <w:jc w:val="right"/>
        <w:bidi w:val="1"/>
      </w:pPr>
      <w:r>
        <w:rPr>
          <w:rFonts w:ascii="Arial" w:hAnsi="Arial" w:cs="Arial"/>
          <w:sz w:val="20"/>
        </w:rPr>
        <w:t>الإدارة التنفيذية: تنفيذ الضوابط، ومعالجة أوجه القصور، وضمان تعاون الإدارات وعدم تعطيل التصعيد.</w:t>
      </w:r>
    </w:p>
    <w:p>
      <w:pPr>
        <w:pStyle w:val="ListBullet"/>
        <w:spacing w:after="40"/>
        <w:ind w:left="288" w:right="360"/>
        <w:jc w:val="right"/>
        <w:bidi w:val="1"/>
      </w:pPr>
      <w:r>
        <w:rPr>
          <w:rFonts w:ascii="Arial" w:hAnsi="Arial" w:cs="Arial"/>
          <w:sz w:val="20"/>
        </w:rPr>
        <w:t>المكلف بالالتزام: تلقي حالات الاشتباه، وإجراء الفحص المستقل، وحفظ الملفات السرية، والتنسيق للإبلاغ النظامي والمتابعة والتدريب.</w:t>
      </w:r>
    </w:p>
    <w:p>
      <w:pPr>
        <w:pStyle w:val="ListBullet"/>
        <w:spacing w:after="40"/>
        <w:ind w:left="288" w:right="360"/>
        <w:jc w:val="right"/>
        <w:bidi w:val="1"/>
      </w:pPr>
      <w:r>
        <w:rPr>
          <w:rFonts w:ascii="Arial" w:hAnsi="Arial" w:cs="Arial"/>
          <w:sz w:val="20"/>
        </w:rPr>
        <w:t>المالية: التحقق من القنوات والحسابات والمستندات، ومراقبة المعاملات والتسويات والرديات، وعدم تنفيذ التعليمات المخالفة.</w:t>
      </w:r>
    </w:p>
    <w:p>
      <w:pPr>
        <w:pStyle w:val="ListBullet"/>
        <w:spacing w:after="40"/>
        <w:ind w:left="288" w:right="360"/>
        <w:jc w:val="right"/>
        <w:bidi w:val="1"/>
      </w:pPr>
      <w:r>
        <w:rPr>
          <w:rFonts w:ascii="Arial" w:hAnsi="Arial" w:cs="Arial"/>
          <w:sz w:val="20"/>
        </w:rPr>
        <w:t>المشتريات والبرامج والموارد البشرية والتطوع: تطبيق التحقق بحسب العلاقة ورفع المؤشرات غير المعتادة فورًا.</w:t>
      </w:r>
    </w:p>
    <w:p>
      <w:pPr>
        <w:pStyle w:val="ListBullet"/>
        <w:spacing w:after="40"/>
        <w:ind w:left="288" w:right="360"/>
        <w:jc w:val="right"/>
        <w:bidi w:val="1"/>
      </w:pPr>
      <w:r>
        <w:rPr>
          <w:rFonts w:ascii="Arial" w:hAnsi="Arial" w:cs="Arial"/>
          <w:sz w:val="20"/>
        </w:rPr>
        <w:t>جميع العاملين والمتطوعين: الالتزام بالسرية وعدم تنبيه الطرف ورفع الاشتباه عبر القناة الداخلية المحددة.</w:t>
      </w:r>
    </w:p>
    <w:p>
      <w:pPr>
        <w:pStyle w:val="Heading1"/>
        <w:jc w:val="right"/>
        <w:keepNext/>
        <w:bidi w:val="1"/>
      </w:pPr>
      <w:r>
        <w:rPr>
          <w:rFonts w:ascii="Arial" w:hAnsi="Arial" w:cs="Arial"/>
        </w:rPr>
        <w:t>6. تقييم المخاطر</w:t>
      </w:r>
    </w:p>
    <w:p>
      <w:pPr>
        <w:spacing w:after="80"/>
        <w:jc w:val="right"/>
        <w:bidi w:val="1"/>
      </w:pPr>
      <w:r>
        <w:rPr>
          <w:rFonts w:ascii="Arial" w:hAnsi="Arial" w:cs="Arial"/>
          <w:b w:val="0"/>
        </w:rPr>
        <w:t>تجري الجمعية تقييمًا موثقًا لمخاطر غسل الأموال وتمويل الإرهاب وتراجعه سنويًا وعند حدوث تغير جوهري. ويغطي - بحسب الانطباق - ما يأتي:</w:t>
      </w:r>
    </w:p>
    <w:p>
      <w:pPr>
        <w:pStyle w:val="ListBullet"/>
        <w:spacing w:after="40"/>
        <w:ind w:left="288" w:right="360"/>
        <w:jc w:val="right"/>
        <w:bidi w:val="1"/>
      </w:pPr>
      <w:r>
        <w:rPr>
          <w:rFonts w:ascii="Arial" w:hAnsi="Arial" w:cs="Arial"/>
          <w:sz w:val="20"/>
        </w:rPr>
        <w:t>نوع المتعامل وشفافية هويته وصفته ومصدر الأموال أو الغرض من الخدمة.</w:t>
      </w:r>
    </w:p>
    <w:p>
      <w:pPr>
        <w:pStyle w:val="ListBullet"/>
        <w:spacing w:after="40"/>
        <w:ind w:left="288" w:right="360"/>
        <w:jc w:val="right"/>
        <w:bidi w:val="1"/>
      </w:pPr>
      <w:r>
        <w:rPr>
          <w:rFonts w:ascii="Arial" w:hAnsi="Arial" w:cs="Arial"/>
          <w:sz w:val="20"/>
        </w:rPr>
        <w:t>البلدان والمناطق الجغرافية والروابط العابرة للحدود.</w:t>
      </w:r>
    </w:p>
    <w:p>
      <w:pPr>
        <w:pStyle w:val="ListBullet"/>
        <w:spacing w:after="40"/>
        <w:ind w:left="288" w:right="360"/>
        <w:jc w:val="right"/>
        <w:bidi w:val="1"/>
      </w:pPr>
      <w:r>
        <w:rPr>
          <w:rFonts w:ascii="Arial" w:hAnsi="Arial" w:cs="Arial"/>
          <w:sz w:val="20"/>
        </w:rPr>
        <w:t>المنتجات والخدمات والبرامج والحملات وقيمة المعاملات وتكرارها.</w:t>
      </w:r>
    </w:p>
    <w:p>
      <w:pPr>
        <w:pStyle w:val="ListBullet"/>
        <w:spacing w:after="40"/>
        <w:ind w:left="288" w:right="360"/>
        <w:jc w:val="right"/>
        <w:bidi w:val="1"/>
      </w:pPr>
      <w:r>
        <w:rPr>
          <w:rFonts w:ascii="Arial" w:hAnsi="Arial" w:cs="Arial"/>
          <w:sz w:val="20"/>
        </w:rPr>
        <w:t>قنوات الدفع والتحصيل، وبخاصة النقد والقنوات الإلكترونية والوسطاء.</w:t>
      </w:r>
    </w:p>
    <w:p>
      <w:pPr>
        <w:pStyle w:val="ListBullet"/>
        <w:spacing w:after="40"/>
        <w:ind w:left="288" w:right="360"/>
        <w:jc w:val="right"/>
        <w:bidi w:val="1"/>
      </w:pPr>
      <w:r>
        <w:rPr>
          <w:rFonts w:ascii="Arial" w:hAnsi="Arial" w:cs="Arial"/>
          <w:sz w:val="20"/>
        </w:rPr>
        <w:t>التبرعات المشروطة أو العينية أو الكبيرة أو المجزأة أو غير المعتادة.</w:t>
      </w:r>
    </w:p>
    <w:p>
      <w:pPr>
        <w:spacing w:after="80"/>
        <w:jc w:val="right"/>
        <w:bidi w:val="1"/>
      </w:pPr>
      <w:r>
        <w:rPr>
          <w:rFonts w:ascii="Arial" w:hAnsi="Arial" w:cs="Arial"/>
          <w:b w:val="0"/>
          <w:color w:val="A9322D"/>
        </w:rPr>
        <w:t>تصنف النتائج إلى مخاطر منخفضة أو متوسطة أو مرتفعة، وتحدد لكل مستوى ضوابط وموافقات ومتابعة مناسبة. ولا يقبل أي خطر محظور نظامًا.</w:t>
      </w:r>
    </w:p>
    <w:p>
      <w:pPr>
        <w:pStyle w:val="Heading1"/>
        <w:jc w:val="right"/>
        <w:keepNext/>
        <w:bidi w:val="1"/>
      </w:pPr>
      <w:r>
        <w:rPr>
          <w:rFonts w:ascii="Arial" w:hAnsi="Arial" w:cs="Arial"/>
        </w:rPr>
        <w:t>7. تصنيف المتعاملين والعلاقات</w:t>
      </w:r>
    </w:p>
    <w:tbl>
      <w:tblPr>
        <w:tblStyle w:val="TableGrid"/>
        <w:tblW w:type="dxa" w:w="8500"/>
        <w:jc w:val="center"/>
        <w:tblLayout w:type="fixed"/>
        <w:tblLook w:firstColumn="1" w:firstRow="1" w:lastColumn="0" w:lastRow="0" w:noHBand="0" w:noVBand="1" w:val="04A0"/>
        <w:tblInd w:w="0" w:type="dxa"/>
        <w:bidiVisual/>
      </w:tblPr>
      <w:tblGrid>
        <w:gridCol w:w="1350"/>
        <w:gridCol w:w="2300"/>
        <w:gridCol w:w="2650"/>
        <w:gridCol w:w="2200"/>
      </w:tblGrid>
      <w:tr>
        <w:trPr>
          <w:tblHeader w:val="true"/>
          <w:cantSplit/>
        </w:trPr>
        <w:tc>
          <w:tcPr>
            <w:tcW w:type="dxa" w:w="1350"/>
            <w:shd w:fill="0B7F9E"/>
            <w:tcMar>
              <w:top w:w="90" w:type="dxa"/>
              <w:start w:w="110" w:type="dxa"/>
              <w:bottom w:w="90" w:type="dxa"/>
              <w:end w:w="110" w:type="dxa"/>
            </w:tcMar>
          </w:tcPr>
          <w:p>
            <w:pPr>
              <w:jc w:val="center"/>
              <w:bidi w:val="1"/>
            </w:pPr>
            <w:r>
              <w:rPr>
                <w:rFonts w:ascii="Arial" w:hAnsi="Arial" w:cs="Arial"/>
                <w:b/>
                <w:color w:val="FFFFFF"/>
                <w:sz w:val="18"/>
              </w:rPr>
              <w:t>المستوى</w:t>
            </w:r>
          </w:p>
        </w:tc>
        <w:tc>
          <w:tcPr>
            <w:tcW w:type="dxa" w:w="2300"/>
            <w:shd w:fill="0B7F9E"/>
            <w:tcMar>
              <w:top w:w="90" w:type="dxa"/>
              <w:start w:w="110" w:type="dxa"/>
              <w:bottom w:w="90" w:type="dxa"/>
              <w:end w:w="110" w:type="dxa"/>
            </w:tcMar>
          </w:tcPr>
          <w:p>
            <w:pPr>
              <w:jc w:val="center"/>
              <w:bidi w:val="1"/>
            </w:pPr>
            <w:r>
              <w:rPr>
                <w:rFonts w:ascii="Arial" w:hAnsi="Arial" w:cs="Arial"/>
                <w:b/>
                <w:color w:val="FFFFFF"/>
                <w:sz w:val="18"/>
              </w:rPr>
              <w:t>أمثلة عامة</w:t>
            </w:r>
          </w:p>
        </w:tc>
        <w:tc>
          <w:tcPr>
            <w:tcW w:type="dxa" w:w="2650"/>
            <w:shd w:fill="0B7F9E"/>
            <w:tcMar>
              <w:top w:w="90" w:type="dxa"/>
              <w:start w:w="110" w:type="dxa"/>
              <w:bottom w:w="90" w:type="dxa"/>
              <w:end w:w="110" w:type="dxa"/>
            </w:tcMar>
          </w:tcPr>
          <w:p>
            <w:pPr>
              <w:jc w:val="center"/>
              <w:bidi w:val="1"/>
            </w:pPr>
            <w:r>
              <w:rPr>
                <w:rFonts w:ascii="Arial" w:hAnsi="Arial" w:cs="Arial"/>
                <w:b/>
                <w:color w:val="FFFFFF"/>
                <w:sz w:val="18"/>
              </w:rPr>
              <w:t>العناية المطلوبة</w:t>
            </w:r>
          </w:p>
        </w:tc>
        <w:tc>
          <w:tcPr>
            <w:tcW w:type="dxa" w:w="2200"/>
            <w:shd w:fill="0B7F9E"/>
            <w:tcMar>
              <w:top w:w="90" w:type="dxa"/>
              <w:start w:w="110" w:type="dxa"/>
              <w:bottom w:w="90" w:type="dxa"/>
              <w:end w:w="110" w:type="dxa"/>
            </w:tcMar>
          </w:tcPr>
          <w:p>
            <w:pPr>
              <w:jc w:val="center"/>
              <w:bidi w:val="1"/>
            </w:pPr>
            <w:r>
              <w:rPr>
                <w:rFonts w:ascii="Arial" w:hAnsi="Arial" w:cs="Arial"/>
                <w:b/>
                <w:color w:val="FFFFFF"/>
                <w:sz w:val="18"/>
              </w:rPr>
              <w:t>الاعتماد والمتابعة</w:t>
            </w:r>
          </w:p>
        </w:tc>
      </w:tr>
      <w:tr>
        <w:trPr>
          <w:cantSplit/>
        </w:trPr>
        <w:tc>
          <w:tcPr>
            <w:tcW w:type="dxa" w:w="1350"/>
            <w:tcMar>
              <w:top w:w="90" w:type="dxa"/>
              <w:start w:w="110" w:type="dxa"/>
              <w:bottom w:w="90" w:type="dxa"/>
              <w:end w:w="110" w:type="dxa"/>
            </w:tcMar>
          </w:tcPr>
          <w:p>
            <w:pPr>
              <w:jc w:val="center"/>
              <w:bidi w:val="1"/>
            </w:pPr>
            <w:r>
              <w:rPr>
                <w:rFonts w:ascii="Arial" w:hAnsi="Arial" w:cs="Arial"/>
                <w:sz w:val="17"/>
              </w:rPr>
              <w:t>منخفض</w:t>
            </w:r>
          </w:p>
        </w:tc>
        <w:tc>
          <w:tcPr>
            <w:tcW w:type="dxa" w:w="2300"/>
            <w:tcMar>
              <w:top w:w="90" w:type="dxa"/>
              <w:start w:w="110" w:type="dxa"/>
              <w:bottom w:w="90" w:type="dxa"/>
              <w:end w:w="110" w:type="dxa"/>
            </w:tcMar>
          </w:tcPr>
          <w:p>
            <w:pPr>
              <w:jc w:val="right"/>
              <w:bidi w:val="1"/>
            </w:pPr>
            <w:r>
              <w:rPr>
                <w:rFonts w:ascii="Arial" w:hAnsi="Arial" w:cs="Arial"/>
                <w:sz w:val="17"/>
              </w:rPr>
              <w:t>علاقة معتادة، هوية واضحة، قناة معتمدة، غرض متسق</w:t>
            </w:r>
          </w:p>
        </w:tc>
        <w:tc>
          <w:tcPr>
            <w:tcW w:type="dxa" w:w="2650"/>
            <w:tcMar>
              <w:top w:w="90" w:type="dxa"/>
              <w:start w:w="110" w:type="dxa"/>
              <w:bottom w:w="90" w:type="dxa"/>
              <w:end w:w="110" w:type="dxa"/>
            </w:tcMar>
          </w:tcPr>
          <w:p>
            <w:pPr>
              <w:jc w:val="right"/>
              <w:bidi w:val="1"/>
            </w:pPr>
            <w:r>
              <w:rPr>
                <w:rFonts w:ascii="Arial" w:hAnsi="Arial" w:cs="Arial"/>
                <w:sz w:val="17"/>
              </w:rPr>
              <w:t>تحقق أساسي وتوثيق الغرض</w:t>
            </w:r>
          </w:p>
        </w:tc>
        <w:tc>
          <w:tcPr>
            <w:tcW w:type="dxa" w:w="2200"/>
            <w:tcMar>
              <w:top w:w="90" w:type="dxa"/>
              <w:start w:w="110" w:type="dxa"/>
              <w:bottom w:w="90" w:type="dxa"/>
              <w:end w:w="110" w:type="dxa"/>
            </w:tcMar>
          </w:tcPr>
          <w:p>
            <w:pPr>
              <w:jc w:val="right"/>
              <w:bidi w:val="1"/>
            </w:pPr>
            <w:r>
              <w:rPr>
                <w:rFonts w:ascii="Arial" w:hAnsi="Arial" w:cs="Arial"/>
                <w:sz w:val="17"/>
              </w:rPr>
              <w:t>الموافقة التشغيلية المعتادة ومراجعة دورية</w:t>
            </w:r>
          </w:p>
        </w:tc>
      </w:tr>
      <w:tr>
        <w:trPr>
          <w:cantSplit/>
        </w:trPr>
        <w:tc>
          <w:tcPr>
            <w:tcW w:type="dxa" w:w="1350"/>
            <w:shd w:fill="F2F4F5"/>
            <w:tcMar>
              <w:top w:w="90" w:type="dxa"/>
              <w:start w:w="110" w:type="dxa"/>
              <w:bottom w:w="90" w:type="dxa"/>
              <w:end w:w="110" w:type="dxa"/>
            </w:tcMar>
          </w:tcPr>
          <w:p>
            <w:pPr>
              <w:jc w:val="center"/>
              <w:bidi w:val="1"/>
            </w:pPr>
            <w:r>
              <w:rPr>
                <w:rFonts w:ascii="Arial" w:hAnsi="Arial" w:cs="Arial"/>
                <w:sz w:val="17"/>
              </w:rPr>
              <w:t>متوسط</w:t>
            </w:r>
          </w:p>
        </w:tc>
        <w:tc>
          <w:tcPr>
            <w:tcW w:type="dxa" w:w="2300"/>
            <w:shd w:fill="F2F4F5"/>
            <w:tcMar>
              <w:top w:w="90" w:type="dxa"/>
              <w:start w:w="110" w:type="dxa"/>
              <w:bottom w:w="90" w:type="dxa"/>
              <w:end w:w="110" w:type="dxa"/>
            </w:tcMar>
          </w:tcPr>
          <w:p>
            <w:pPr>
              <w:jc w:val="right"/>
              <w:bidi w:val="1"/>
            </w:pPr>
            <w:r>
              <w:rPr>
                <w:rFonts w:ascii="Arial" w:hAnsi="Arial" w:cs="Arial"/>
                <w:sz w:val="17"/>
              </w:rPr>
              <w:t>قيمة أو تكرار أعلى، تعقيد محدود، مستندات تحتاج استكمالًا</w:t>
            </w:r>
          </w:p>
        </w:tc>
        <w:tc>
          <w:tcPr>
            <w:tcW w:type="dxa" w:w="2650"/>
            <w:shd w:fill="F2F4F5"/>
            <w:tcMar>
              <w:top w:w="90" w:type="dxa"/>
              <w:start w:w="110" w:type="dxa"/>
              <w:bottom w:w="90" w:type="dxa"/>
              <w:end w:w="110" w:type="dxa"/>
            </w:tcMar>
          </w:tcPr>
          <w:p>
            <w:pPr>
              <w:jc w:val="right"/>
              <w:bidi w:val="1"/>
            </w:pPr>
            <w:r>
              <w:rPr>
                <w:rFonts w:ascii="Arial" w:hAnsi="Arial" w:cs="Arial"/>
                <w:sz w:val="17"/>
              </w:rPr>
              <w:t>تحقق إضافي وفهم المصدر أو الغرض بصورة أعمق</w:t>
            </w:r>
          </w:p>
        </w:tc>
        <w:tc>
          <w:tcPr>
            <w:tcW w:type="dxa" w:w="2200"/>
            <w:shd w:fill="F2F4F5"/>
            <w:tcMar>
              <w:top w:w="90" w:type="dxa"/>
              <w:start w:w="110" w:type="dxa"/>
              <w:bottom w:w="90" w:type="dxa"/>
              <w:end w:w="110" w:type="dxa"/>
            </w:tcMar>
          </w:tcPr>
          <w:p>
            <w:pPr>
              <w:jc w:val="right"/>
              <w:bidi w:val="1"/>
            </w:pPr>
            <w:r>
              <w:rPr>
                <w:rFonts w:ascii="Arial" w:hAnsi="Arial" w:cs="Arial"/>
                <w:sz w:val="17"/>
              </w:rPr>
              <w:t>موافقة مسؤول أعلى ومتابعة معززة</w:t>
            </w:r>
          </w:p>
        </w:tc>
      </w:tr>
      <w:tr>
        <w:trPr>
          <w:cantSplit/>
        </w:trPr>
        <w:tc>
          <w:tcPr>
            <w:tcW w:type="dxa" w:w="1350"/>
            <w:tcMar>
              <w:top w:w="90" w:type="dxa"/>
              <w:start w:w="110" w:type="dxa"/>
              <w:bottom w:w="90" w:type="dxa"/>
              <w:end w:w="110" w:type="dxa"/>
            </w:tcMar>
          </w:tcPr>
          <w:p>
            <w:pPr>
              <w:jc w:val="center"/>
              <w:bidi w:val="1"/>
            </w:pPr>
            <w:r>
              <w:rPr>
                <w:rFonts w:ascii="Arial" w:hAnsi="Arial" w:cs="Arial"/>
                <w:sz w:val="17"/>
              </w:rPr>
              <w:t>مرتفع</w:t>
            </w:r>
          </w:p>
        </w:tc>
        <w:tc>
          <w:tcPr>
            <w:tcW w:type="dxa" w:w="2300"/>
            <w:tcMar>
              <w:top w:w="90" w:type="dxa"/>
              <w:start w:w="110" w:type="dxa"/>
              <w:bottom w:w="90" w:type="dxa"/>
              <w:end w:w="110" w:type="dxa"/>
            </w:tcMar>
          </w:tcPr>
          <w:p>
            <w:pPr>
              <w:jc w:val="right"/>
              <w:bidi w:val="1"/>
            </w:pPr>
            <w:r>
              <w:rPr>
                <w:rFonts w:ascii="Arial" w:hAnsi="Arial" w:cs="Arial"/>
                <w:sz w:val="17"/>
              </w:rPr>
              <w:t>هياكل ملكية معقدة، صلة خارجية، نقد كبير، عدم اتساق أو غموض</w:t>
            </w:r>
          </w:p>
        </w:tc>
        <w:tc>
          <w:tcPr>
            <w:tcW w:type="dxa" w:w="2650"/>
            <w:tcMar>
              <w:top w:w="90" w:type="dxa"/>
              <w:start w:w="110" w:type="dxa"/>
              <w:bottom w:w="90" w:type="dxa"/>
              <w:end w:w="110" w:type="dxa"/>
            </w:tcMar>
          </w:tcPr>
          <w:p>
            <w:pPr>
              <w:jc w:val="right"/>
              <w:bidi w:val="1"/>
            </w:pPr>
            <w:r>
              <w:rPr>
                <w:rFonts w:ascii="Arial" w:hAnsi="Arial" w:cs="Arial"/>
                <w:sz w:val="17"/>
              </w:rPr>
              <w:t>عناية واجبة معززة والتحقق من المصدر والمستفيد الحقيقي عند الانطباق</w:t>
            </w:r>
          </w:p>
        </w:tc>
        <w:tc>
          <w:tcPr>
            <w:tcW w:type="dxa" w:w="2200"/>
            <w:tcMar>
              <w:top w:w="90" w:type="dxa"/>
              <w:start w:w="110" w:type="dxa"/>
              <w:bottom w:w="90" w:type="dxa"/>
              <w:end w:w="110" w:type="dxa"/>
            </w:tcMar>
          </w:tcPr>
          <w:p>
            <w:pPr>
              <w:jc w:val="right"/>
              <w:bidi w:val="1"/>
            </w:pPr>
            <w:r>
              <w:rPr>
                <w:rFonts w:ascii="Arial" w:hAnsi="Arial" w:cs="Arial"/>
                <w:sz w:val="17"/>
              </w:rPr>
              <w:t>موافقة الإدارة العليا ومراقبة مستمرة؛ والرفض عند تعذر تخفيف الخطر</w:t>
            </w:r>
          </w:p>
        </w:tc>
      </w:tr>
    </w:tbl>
    <w:p>
      <w:pPr>
        <w:pStyle w:val="Heading1"/>
        <w:jc w:val="right"/>
        <w:keepNext/>
        <w:bidi w:val="1"/>
      </w:pPr>
      <w:r>
        <w:rPr>
          <w:rFonts w:ascii="Arial" w:hAnsi="Arial" w:cs="Arial"/>
        </w:rPr>
        <w:t>8. العناية الواجبة والتحقق</w:t>
      </w:r>
    </w:p>
    <w:p>
      <w:pPr>
        <w:spacing w:after="60"/>
        <w:ind w:right="288" w:hanging="288"/>
        <w:jc w:val="right"/>
        <w:bidi w:val="1"/>
      </w:pPr>
      <w:r>
        <w:rPr>
          <w:rFonts w:ascii="Arial" w:hAnsi="Arial" w:cs="Arial"/>
          <w:sz w:val="20"/>
        </w:rPr>
        <w:t>1. تحديد هوية المتعامل وصفته والتحقق منها من مصادر أو مستندات موثوقة بحسب طبيعة العلاقة.</w:t>
      </w:r>
    </w:p>
    <w:p>
      <w:pPr>
        <w:spacing w:after="60"/>
        <w:ind w:right="288" w:hanging="288"/>
        <w:jc w:val="right"/>
        <w:bidi w:val="1"/>
      </w:pPr>
      <w:r>
        <w:rPr>
          <w:rFonts w:ascii="Arial" w:hAnsi="Arial" w:cs="Arial"/>
          <w:sz w:val="20"/>
        </w:rPr>
        <w:t>2. فهم غرض العلاقة أو المعاملة وطبيعتها والمتوقع منها ومصدر الأموال عند الحاجة.</w:t>
      </w:r>
    </w:p>
    <w:p>
      <w:pPr>
        <w:spacing w:after="60"/>
        <w:ind w:right="288" w:hanging="288"/>
        <w:jc w:val="right"/>
        <w:bidi w:val="1"/>
      </w:pPr>
      <w:r>
        <w:rPr>
          <w:rFonts w:ascii="Arial" w:hAnsi="Arial" w:cs="Arial"/>
          <w:sz w:val="20"/>
        </w:rPr>
        <w:t>3. التحقق من صلاحية التمثيل النظامي، ومن المستفيد الحقيقي للأشخاص الاعتباريين عند الانطباق.</w:t>
      </w:r>
    </w:p>
    <w:p>
      <w:pPr>
        <w:spacing w:after="60"/>
        <w:ind w:right="288" w:hanging="288"/>
        <w:jc w:val="right"/>
        <w:bidi w:val="1"/>
      </w:pPr>
      <w:r>
        <w:rPr>
          <w:rFonts w:ascii="Arial" w:hAnsi="Arial" w:cs="Arial"/>
          <w:sz w:val="20"/>
        </w:rPr>
        <w:t>4. فحص الأسماء بحسب القوائم والضوابط المعتمدة لدى الجمعية، وتوثيق النتيجة دون الاعتماد على تشابه الاسم وحده.</w:t>
      </w:r>
    </w:p>
    <w:p>
      <w:pPr>
        <w:spacing w:after="60"/>
        <w:ind w:right="288" w:hanging="288"/>
        <w:jc w:val="right"/>
        <w:bidi w:val="1"/>
      </w:pPr>
      <w:r>
        <w:rPr>
          <w:rFonts w:ascii="Arial" w:hAnsi="Arial" w:cs="Arial"/>
          <w:sz w:val="20"/>
        </w:rPr>
        <w:t>5. تحديث البيانات دوريًا وبوتيرة أعلى للعلاقات مرتفعة المخاطر.</w:t>
      </w:r>
    </w:p>
    <w:p>
      <w:pPr>
        <w:spacing w:after="60"/>
        <w:ind w:right="288" w:hanging="288"/>
        <w:jc w:val="right"/>
        <w:bidi w:val="1"/>
      </w:pPr>
      <w:r>
        <w:rPr>
          <w:rFonts w:ascii="Arial" w:hAnsi="Arial" w:cs="Arial"/>
          <w:sz w:val="20"/>
        </w:rPr>
        <w:t>6. عدم بدء العلاقة أو تنفيذ المعاملة عند تعذر استكمال التحقق، مع إحالة الحالة للمكلف بالالتزام لتقييم الاشتباه.</w:t>
      </w:r>
    </w:p>
    <w:p>
      <w:pPr>
        <w:pStyle w:val="Heading1"/>
        <w:jc w:val="right"/>
        <w:keepNext/>
        <w:bidi w:val="1"/>
      </w:pPr>
      <w:r>
        <w:rPr>
          <w:rFonts w:ascii="Arial" w:hAnsi="Arial" w:cs="Arial"/>
        </w:rPr>
        <w:t>9. ضوابط التبرعات والتحصيل</w:t>
      </w:r>
    </w:p>
    <w:p>
      <w:pPr>
        <w:pStyle w:val="ListBullet"/>
        <w:spacing w:after="40"/>
        <w:ind w:left="288" w:right="360"/>
        <w:jc w:val="right"/>
        <w:bidi w:val="1"/>
      </w:pPr>
      <w:r>
        <w:rPr>
          <w:rFonts w:ascii="Arial" w:hAnsi="Arial" w:cs="Arial"/>
          <w:sz w:val="20"/>
        </w:rPr>
        <w:t>استقبال الأموال عبر الحسابات والقنوات المعتمدة باسم الجمعية، ومنع استخدام الحسابات الشخصية.</w:t>
      </w:r>
    </w:p>
    <w:p>
      <w:pPr>
        <w:pStyle w:val="ListBullet"/>
        <w:spacing w:after="40"/>
        <w:ind w:left="288" w:right="360"/>
        <w:jc w:val="right"/>
        <w:bidi w:val="1"/>
      </w:pPr>
      <w:r>
        <w:rPr>
          <w:rFonts w:ascii="Arial" w:hAnsi="Arial" w:cs="Arial"/>
          <w:sz w:val="20"/>
        </w:rPr>
        <w:t>توثيق هوية المتبرع والغرض والقيمة والقناة وفق المتطلبات ومستوى المخاطر.</w:t>
      </w:r>
    </w:p>
    <w:p>
      <w:pPr>
        <w:pStyle w:val="ListBullet"/>
        <w:spacing w:after="40"/>
        <w:ind w:left="288" w:right="360"/>
        <w:jc w:val="right"/>
        <w:bidi w:val="1"/>
      </w:pPr>
      <w:r>
        <w:rPr>
          <w:rFonts w:ascii="Arial" w:hAnsi="Arial" w:cs="Arial"/>
          <w:sz w:val="20"/>
        </w:rPr>
        <w:t>مراجعة التبرعات النقدية والكبيرة والمجزأة والمتكررة أو المشروطة أو غير المتناسبة مع المعلومات المتاحة.</w:t>
      </w:r>
    </w:p>
    <w:p>
      <w:pPr>
        <w:pStyle w:val="ListBullet"/>
        <w:spacing w:after="40"/>
        <w:ind w:left="288" w:right="360"/>
        <w:jc w:val="right"/>
        <w:bidi w:val="1"/>
      </w:pPr>
      <w:r>
        <w:rPr>
          <w:rFonts w:ascii="Arial" w:hAnsi="Arial" w:cs="Arial"/>
          <w:sz w:val="20"/>
        </w:rPr>
        <w:t>عدم قبول تبرع مجهول أو خارجي أو عيني إلا وفق ما تسمح به الأنظمة والموافقات والإجراءات المعتمدة.</w:t>
      </w:r>
    </w:p>
    <w:p>
      <w:pPr>
        <w:pStyle w:val="ListBullet"/>
        <w:spacing w:after="40"/>
        <w:ind w:left="288" w:right="360"/>
        <w:jc w:val="right"/>
        <w:bidi w:val="1"/>
      </w:pPr>
      <w:r>
        <w:rPr>
          <w:rFonts w:ascii="Arial" w:hAnsi="Arial" w:cs="Arial"/>
          <w:sz w:val="20"/>
        </w:rPr>
        <w:t>توثيق الرديات وإعادتها - عند جوازها - إلى المصدر الأصلي وبموافقة مناسبة، وعدم تحويلها لطرف ثالث.</w:t>
      </w:r>
    </w:p>
    <w:p>
      <w:pPr>
        <w:pStyle w:val="Heading1"/>
        <w:jc w:val="right"/>
        <w:keepNext/>
        <w:bidi w:val="1"/>
      </w:pPr>
      <w:r>
        <w:rPr>
          <w:rFonts w:ascii="Arial" w:hAnsi="Arial" w:cs="Arial"/>
        </w:rPr>
        <w:t>10. ضوابط الصرف والمشتريات والمساعدات</w:t>
      </w:r>
    </w:p>
    <w:p>
      <w:pPr>
        <w:pStyle w:val="ListBullet"/>
        <w:spacing w:after="40"/>
        <w:ind w:left="288" w:right="360"/>
        <w:jc w:val="right"/>
        <w:bidi w:val="1"/>
      </w:pPr>
      <w:r>
        <w:rPr>
          <w:rFonts w:ascii="Arial" w:hAnsi="Arial" w:cs="Arial"/>
          <w:sz w:val="20"/>
        </w:rPr>
        <w:t>التحقق من هوية المستفيد أو المورد وارتباط الصرف بغرض الجمعية والبرنامج أو العقد.</w:t>
      </w:r>
    </w:p>
    <w:p>
      <w:pPr>
        <w:pStyle w:val="ListBullet"/>
        <w:spacing w:after="40"/>
        <w:ind w:left="288" w:right="360"/>
        <w:jc w:val="right"/>
        <w:bidi w:val="1"/>
      </w:pPr>
      <w:r>
        <w:rPr>
          <w:rFonts w:ascii="Arial" w:hAnsi="Arial" w:cs="Arial"/>
          <w:sz w:val="20"/>
        </w:rPr>
        <w:t>منع الصرف النقدي أو التجزئة أو تعدد الوسطاء بقصد تجاوز الضوابط أو الصلاحيات.</w:t>
      </w:r>
    </w:p>
    <w:p>
      <w:pPr>
        <w:pStyle w:val="ListBullet"/>
        <w:spacing w:after="40"/>
        <w:ind w:left="288" w:right="360"/>
        <w:jc w:val="right"/>
        <w:bidi w:val="1"/>
      </w:pPr>
      <w:r>
        <w:rPr>
          <w:rFonts w:ascii="Arial" w:hAnsi="Arial" w:cs="Arial"/>
          <w:sz w:val="20"/>
        </w:rPr>
        <w:t>مطابقة الحساب البنكي مع صاحب الاستحقاق، وتوثيق أي استثناء والموافقة عليه.</w:t>
      </w:r>
    </w:p>
    <w:p>
      <w:pPr>
        <w:pStyle w:val="ListBullet"/>
        <w:spacing w:after="40"/>
        <w:ind w:left="288" w:right="360"/>
        <w:jc w:val="right"/>
        <w:bidi w:val="1"/>
      </w:pPr>
      <w:r>
        <w:rPr>
          <w:rFonts w:ascii="Arial" w:hAnsi="Arial" w:cs="Arial"/>
          <w:sz w:val="20"/>
        </w:rPr>
        <w:t>مراجعة تضارب المصالح والأسعار والمستندات والتسليم الفعلي قبل الصرف.</w:t>
      </w:r>
    </w:p>
    <w:p>
      <w:pPr>
        <w:pStyle w:val="ListBullet"/>
        <w:spacing w:after="40"/>
        <w:ind w:left="288" w:right="360"/>
        <w:jc w:val="right"/>
        <w:bidi w:val="1"/>
      </w:pPr>
      <w:r>
        <w:rPr>
          <w:rFonts w:ascii="Arial" w:hAnsi="Arial" w:cs="Arial"/>
          <w:sz w:val="20"/>
        </w:rPr>
        <w:t>رفع الحالات غير المعتادة للمكلف بالالتزام قبل الاستمرار متى كان الإيقاف ممكنًا دون تنبيه الطرف.</w:t>
      </w:r>
    </w:p>
    <w:p>
      <w:pPr>
        <w:pStyle w:val="Heading1"/>
        <w:jc w:val="right"/>
        <w:keepNext/>
        <w:bidi w:val="1"/>
      </w:pPr>
      <w:r>
        <w:rPr>
          <w:rFonts w:ascii="Arial" w:hAnsi="Arial" w:cs="Arial"/>
        </w:rPr>
        <w:t>11. المراقبة المستمرة</w:t>
      </w:r>
    </w:p>
    <w:p>
      <w:pPr>
        <w:spacing w:after="80"/>
        <w:jc w:val="right"/>
        <w:bidi w:val="1"/>
      </w:pPr>
      <w:r>
        <w:rPr>
          <w:rFonts w:ascii="Arial" w:hAnsi="Arial" w:cs="Arial"/>
          <w:b w:val="0"/>
        </w:rPr>
        <w:t>تراقب الجمعية المعاملات والعلاقات وفق مستوى المخاطر، وتقارن النشاط الفعلي بالمعلومات والغرض المتوقع. وتشمل المراجعة القيم والتكرار والتجزئة والمستفيدين والقنوات والمناطق الجغرافية والتغيرات المفاجئة والارتباطات غير المبررة.</w:t>
      </w:r>
    </w:p>
    <w:p>
      <w:pPr>
        <w:pStyle w:val="Heading1"/>
        <w:jc w:val="right"/>
        <w:keepNext/>
        <w:bidi w:val="1"/>
      </w:pPr>
      <w:r>
        <w:rPr>
          <w:rFonts w:ascii="Arial" w:hAnsi="Arial" w:cs="Arial"/>
        </w:rPr>
        <w:t>12. مؤشرات تستوجب الفحص</w:t>
      </w:r>
    </w:p>
    <w:p>
      <w:pPr>
        <w:pStyle w:val="ListBullet"/>
        <w:spacing w:after="40"/>
        <w:ind w:left="288" w:right="360"/>
        <w:jc w:val="right"/>
        <w:bidi w:val="1"/>
      </w:pPr>
      <w:r>
        <w:rPr>
          <w:rFonts w:ascii="Arial" w:hAnsi="Arial" w:cs="Arial"/>
          <w:sz w:val="20"/>
        </w:rPr>
        <w:t>رفض تقديم معلومات أو مستندات، أو تقديم معلومات متعارضة أو يصعب التحقق منها.</w:t>
      </w:r>
    </w:p>
    <w:p>
      <w:pPr>
        <w:pStyle w:val="ListBullet"/>
        <w:spacing w:after="40"/>
        <w:ind w:left="288" w:right="360"/>
        <w:jc w:val="right"/>
        <w:bidi w:val="1"/>
      </w:pPr>
      <w:r>
        <w:rPr>
          <w:rFonts w:ascii="Arial" w:hAnsi="Arial" w:cs="Arial"/>
          <w:sz w:val="20"/>
        </w:rPr>
        <w:t>طلب التجزئة أو استخدام عدة أشخاص أو حسابات دون مبرر واضح.</w:t>
      </w:r>
    </w:p>
    <w:p>
      <w:pPr>
        <w:pStyle w:val="ListBullet"/>
        <w:spacing w:after="40"/>
        <w:ind w:left="288" w:right="360"/>
        <w:jc w:val="right"/>
        <w:bidi w:val="1"/>
      </w:pPr>
      <w:r>
        <w:rPr>
          <w:rFonts w:ascii="Arial" w:hAnsi="Arial" w:cs="Arial"/>
          <w:sz w:val="20"/>
        </w:rPr>
        <w:t>تبرع أو دفعة لا تتناسب مع طبيعة المتعامل أو الغرض المعلن.</w:t>
      </w:r>
    </w:p>
    <w:p>
      <w:pPr>
        <w:pStyle w:val="ListBullet"/>
        <w:spacing w:after="40"/>
        <w:ind w:left="288" w:right="360"/>
        <w:jc w:val="right"/>
        <w:bidi w:val="1"/>
      </w:pPr>
      <w:r>
        <w:rPr>
          <w:rFonts w:ascii="Arial" w:hAnsi="Arial" w:cs="Arial"/>
          <w:sz w:val="20"/>
        </w:rPr>
        <w:t>طلب رد الأموال إلى حساب أو شخص مختلف عن المصدر.</w:t>
      </w:r>
    </w:p>
    <w:p>
      <w:pPr>
        <w:pStyle w:val="ListBullet"/>
        <w:spacing w:after="40"/>
        <w:ind w:left="288" w:right="360"/>
        <w:jc w:val="right"/>
        <w:bidi w:val="1"/>
      </w:pPr>
      <w:r>
        <w:rPr>
          <w:rFonts w:ascii="Arial" w:hAnsi="Arial" w:cs="Arial"/>
          <w:sz w:val="20"/>
        </w:rPr>
        <w:t>استخدام نقد أو وسيط أو دولة أو قناة عالية المخاطر دون مبرر مشروع.</w:t>
      </w:r>
    </w:p>
    <w:p>
      <w:pPr>
        <w:pStyle w:val="ListBullet"/>
        <w:spacing w:after="40"/>
        <w:ind w:left="288" w:right="360"/>
        <w:jc w:val="right"/>
        <w:bidi w:val="1"/>
      </w:pPr>
      <w:r>
        <w:rPr>
          <w:rFonts w:ascii="Arial" w:hAnsi="Arial" w:cs="Arial"/>
          <w:sz w:val="20"/>
        </w:rPr>
        <w:t>الإصرار على السرعة أو السرية غير المعتادة أو محاولة التأثير لتجاوز الإجراءات.</w:t>
      </w:r>
    </w:p>
    <w:p>
      <w:pPr>
        <w:spacing w:after="80"/>
        <w:jc w:val="right"/>
        <w:bidi w:val="1"/>
      </w:pPr>
      <w:r>
        <w:rPr>
          <w:rFonts w:ascii="Arial" w:hAnsi="Arial" w:cs="Arial"/>
          <w:b w:val="0"/>
          <w:color w:val="A9322D"/>
        </w:rPr>
        <w:t>المؤشر لا يثبت الجريمة وحده، لكنه يستلزم الفحص والتوثيق والتصعيد بحسب ظروف الحالة.</w:t>
      </w:r>
    </w:p>
    <w:p>
      <w:pPr>
        <w:pStyle w:val="Heading1"/>
        <w:jc w:val="right"/>
        <w:keepNext/>
        <w:bidi w:val="1"/>
      </w:pPr>
      <w:r>
        <w:rPr>
          <w:rFonts w:ascii="Arial" w:hAnsi="Arial" w:cs="Arial"/>
        </w:rPr>
        <w:t>13. مسار التصعيد والفحص الداخلي</w:t>
      </w:r>
    </w:p>
    <w:tbl>
      <w:tblPr>
        <w:tblStyle w:val="TableGrid"/>
        <w:tblW w:type="dxa" w:w="8500"/>
        <w:jc w:val="center"/>
        <w:tblLayout w:type="fixed"/>
        <w:tblLook w:firstColumn="1" w:firstRow="1" w:lastColumn="0" w:lastRow="0" w:noHBand="0" w:noVBand="1" w:val="04A0"/>
        <w:tblInd w:w="0" w:type="dxa"/>
        <w:bidiVisual/>
      </w:tblPr>
      <w:tblGrid>
        <w:gridCol w:w="900"/>
        <w:gridCol w:w="2100"/>
        <w:gridCol w:w="5500"/>
      </w:tblGrid>
      <w:tr>
        <w:trPr>
          <w:tblHeader w:val="true"/>
          <w:cantSplit/>
        </w:trPr>
        <w:tc>
          <w:tcPr>
            <w:tcW w:type="dxa" w:w="900"/>
            <w:shd w:fill="0B7F9E"/>
            <w:tcMar>
              <w:top w:w="90" w:type="dxa"/>
              <w:start w:w="110" w:type="dxa"/>
              <w:bottom w:w="90" w:type="dxa"/>
              <w:end w:w="110" w:type="dxa"/>
            </w:tcMar>
          </w:tcPr>
          <w:p>
            <w:pPr>
              <w:jc w:val="center"/>
              <w:bidi w:val="1"/>
            </w:pPr>
            <w:r>
              <w:rPr>
                <w:rFonts w:ascii="Arial" w:hAnsi="Arial" w:cs="Arial"/>
                <w:b/>
                <w:color w:val="FFFFFF"/>
              </w:rPr>
              <w:t>المرحلة</w:t>
            </w:r>
          </w:p>
        </w:tc>
        <w:tc>
          <w:tcPr>
            <w:tcW w:type="dxa" w:w="2100"/>
            <w:shd w:fill="0B7F9E"/>
            <w:tcMar>
              <w:top w:w="90" w:type="dxa"/>
              <w:start w:w="110" w:type="dxa"/>
              <w:bottom w:w="90" w:type="dxa"/>
              <w:end w:w="110" w:type="dxa"/>
            </w:tcMar>
          </w:tcPr>
          <w:p>
            <w:pPr>
              <w:jc w:val="center"/>
              <w:bidi w:val="1"/>
            </w:pPr>
            <w:r>
              <w:rPr>
                <w:rFonts w:ascii="Arial" w:hAnsi="Arial" w:cs="Arial"/>
                <w:b/>
                <w:color w:val="FFFFFF"/>
              </w:rPr>
              <w:t>المسؤول</w:t>
            </w:r>
          </w:p>
        </w:tc>
        <w:tc>
          <w:tcPr>
            <w:tcW w:type="dxa" w:w="5500"/>
            <w:shd w:fill="0B7F9E"/>
            <w:tcMar>
              <w:top w:w="90" w:type="dxa"/>
              <w:start w:w="110" w:type="dxa"/>
              <w:bottom w:w="90" w:type="dxa"/>
              <w:end w:w="110" w:type="dxa"/>
            </w:tcMar>
          </w:tcPr>
          <w:p>
            <w:pPr>
              <w:jc w:val="center"/>
              <w:bidi w:val="1"/>
            </w:pPr>
            <w:r>
              <w:rPr>
                <w:rFonts w:ascii="Arial" w:hAnsi="Arial" w:cs="Arial"/>
                <w:b/>
                <w:color w:val="FFFFFF"/>
              </w:rPr>
              <w:t>الإجراء</w:t>
            </w:r>
          </w:p>
        </w:tc>
      </w:tr>
      <w:tr>
        <w:trPr>
          <w:cantSplit/>
        </w:trPr>
        <w:tc>
          <w:tcPr>
            <w:tcW w:type="dxa" w:w="900"/>
            <w:tcMar>
              <w:top w:w="90" w:type="dxa"/>
              <w:start w:w="110" w:type="dxa"/>
              <w:bottom w:w="90" w:type="dxa"/>
              <w:end w:w="110" w:type="dxa"/>
            </w:tcMar>
          </w:tcPr>
          <w:p>
            <w:pPr>
              <w:jc w:val="center"/>
              <w:bidi w:val="1"/>
            </w:pPr>
            <w:r>
              <w:rPr>
                <w:rFonts w:ascii="Arial" w:hAnsi="Arial" w:cs="Arial"/>
                <w:sz w:val="17"/>
              </w:rPr>
              <w:t>1</w:t>
            </w:r>
          </w:p>
        </w:tc>
        <w:tc>
          <w:tcPr>
            <w:tcW w:type="dxa" w:w="2100"/>
            <w:tcMar>
              <w:top w:w="90" w:type="dxa"/>
              <w:start w:w="110" w:type="dxa"/>
              <w:bottom w:w="90" w:type="dxa"/>
              <w:end w:w="110" w:type="dxa"/>
            </w:tcMar>
          </w:tcPr>
          <w:p>
            <w:pPr>
              <w:jc w:val="center"/>
              <w:bidi w:val="1"/>
            </w:pPr>
            <w:r>
              <w:rPr>
                <w:rFonts w:ascii="Arial" w:hAnsi="Arial" w:cs="Arial"/>
                <w:sz w:val="17"/>
              </w:rPr>
              <w:t>الموظف أو المتطوع</w:t>
            </w:r>
          </w:p>
        </w:tc>
        <w:tc>
          <w:tcPr>
            <w:tcW w:type="dxa" w:w="5500"/>
            <w:tcMar>
              <w:top w:w="90" w:type="dxa"/>
              <w:start w:w="110" w:type="dxa"/>
              <w:bottom w:w="90" w:type="dxa"/>
              <w:end w:w="110" w:type="dxa"/>
            </w:tcMar>
          </w:tcPr>
          <w:p>
            <w:pPr>
              <w:jc w:val="right"/>
              <w:bidi w:val="1"/>
            </w:pPr>
            <w:r>
              <w:rPr>
                <w:rFonts w:ascii="Arial" w:hAnsi="Arial" w:cs="Arial"/>
                <w:sz w:val="17"/>
              </w:rPr>
              <w:t>إيقاف النقاش مع الطرف، وعدم طلب تفسيرات قد تكشف الاشتباه، ورفع نموذج داخلي سري فورًا.</w:t>
            </w:r>
          </w:p>
        </w:tc>
      </w:tr>
      <w:tr>
        <w:trPr>
          <w:cantSplit/>
        </w:trPr>
        <w:tc>
          <w:tcPr>
            <w:tcW w:type="dxa" w:w="900"/>
            <w:shd w:fill="F2F4F5"/>
            <w:tcMar>
              <w:top w:w="90" w:type="dxa"/>
              <w:start w:w="110" w:type="dxa"/>
              <w:bottom w:w="90" w:type="dxa"/>
              <w:end w:w="110" w:type="dxa"/>
            </w:tcMar>
          </w:tcPr>
          <w:p>
            <w:pPr>
              <w:jc w:val="center"/>
              <w:bidi w:val="1"/>
            </w:pPr>
            <w:r>
              <w:rPr>
                <w:rFonts w:ascii="Arial" w:hAnsi="Arial" w:cs="Arial"/>
                <w:sz w:val="17"/>
              </w:rPr>
              <w:t>2</w:t>
            </w:r>
          </w:p>
        </w:tc>
        <w:tc>
          <w:tcPr>
            <w:tcW w:type="dxa" w:w="2100"/>
            <w:shd w:fill="F2F4F5"/>
            <w:tcMar>
              <w:top w:w="90" w:type="dxa"/>
              <w:start w:w="110" w:type="dxa"/>
              <w:bottom w:w="90" w:type="dxa"/>
              <w:end w:w="110" w:type="dxa"/>
            </w:tcMar>
          </w:tcPr>
          <w:p>
            <w:pPr>
              <w:jc w:val="center"/>
              <w:bidi w:val="1"/>
            </w:pPr>
            <w:r>
              <w:rPr>
                <w:rFonts w:ascii="Arial" w:hAnsi="Arial" w:cs="Arial"/>
                <w:sz w:val="17"/>
              </w:rPr>
              <w:t>المكلف بالالتزام</w:t>
            </w:r>
          </w:p>
        </w:tc>
        <w:tc>
          <w:tcPr>
            <w:tcW w:type="dxa" w:w="5500"/>
            <w:shd w:fill="F2F4F5"/>
            <w:tcMar>
              <w:top w:w="90" w:type="dxa"/>
              <w:start w:w="110" w:type="dxa"/>
              <w:bottom w:w="90" w:type="dxa"/>
              <w:end w:w="110" w:type="dxa"/>
            </w:tcMar>
          </w:tcPr>
          <w:p>
            <w:pPr>
              <w:jc w:val="right"/>
              <w:bidi w:val="1"/>
            </w:pPr>
            <w:r>
              <w:rPr>
                <w:rFonts w:ascii="Arial" w:hAnsi="Arial" w:cs="Arial"/>
                <w:sz w:val="17"/>
              </w:rPr>
              <w:t>استلام الحالة وتسجيلها برقم سري وجمع المعلومات المتاحة دون تنبيه الطرف.</w:t>
            </w:r>
          </w:p>
        </w:tc>
      </w:tr>
      <w:tr>
        <w:trPr>
          <w:cantSplit/>
        </w:trPr>
        <w:tc>
          <w:tcPr>
            <w:tcW w:type="dxa" w:w="900"/>
            <w:tcMar>
              <w:top w:w="90" w:type="dxa"/>
              <w:start w:w="110" w:type="dxa"/>
              <w:bottom w:w="90" w:type="dxa"/>
              <w:end w:w="110" w:type="dxa"/>
            </w:tcMar>
          </w:tcPr>
          <w:p>
            <w:pPr>
              <w:jc w:val="center"/>
              <w:bidi w:val="1"/>
            </w:pPr>
            <w:r>
              <w:rPr>
                <w:rFonts w:ascii="Arial" w:hAnsi="Arial" w:cs="Arial"/>
                <w:sz w:val="17"/>
              </w:rPr>
              <w:t>3</w:t>
            </w:r>
          </w:p>
        </w:tc>
        <w:tc>
          <w:tcPr>
            <w:tcW w:type="dxa" w:w="2100"/>
            <w:tcMar>
              <w:top w:w="90" w:type="dxa"/>
              <w:start w:w="110" w:type="dxa"/>
              <w:bottom w:w="90" w:type="dxa"/>
              <w:end w:w="110" w:type="dxa"/>
            </w:tcMar>
          </w:tcPr>
          <w:p>
            <w:pPr>
              <w:jc w:val="center"/>
              <w:bidi w:val="1"/>
            </w:pPr>
            <w:r>
              <w:rPr>
                <w:rFonts w:ascii="Arial" w:hAnsi="Arial" w:cs="Arial"/>
                <w:sz w:val="17"/>
              </w:rPr>
              <w:t>الفحص المستقل</w:t>
            </w:r>
          </w:p>
        </w:tc>
        <w:tc>
          <w:tcPr>
            <w:tcW w:type="dxa" w:w="5500"/>
            <w:tcMar>
              <w:top w:w="90" w:type="dxa"/>
              <w:start w:w="110" w:type="dxa"/>
              <w:bottom w:w="90" w:type="dxa"/>
              <w:end w:w="110" w:type="dxa"/>
            </w:tcMar>
          </w:tcPr>
          <w:p>
            <w:pPr>
              <w:jc w:val="right"/>
              <w:bidi w:val="1"/>
            </w:pPr>
            <w:r>
              <w:rPr>
                <w:rFonts w:ascii="Arial" w:hAnsi="Arial" w:cs="Arial"/>
                <w:sz w:val="17"/>
              </w:rPr>
              <w:t>تحليل الهوية والغرض والمصدر والمعاملات والعلاقات والمؤشرات وتوثيق أسباب النتيجة.</w:t>
            </w:r>
          </w:p>
        </w:tc>
      </w:tr>
      <w:tr>
        <w:trPr>
          <w:cantSplit/>
        </w:trPr>
        <w:tc>
          <w:tcPr>
            <w:tcW w:type="dxa" w:w="900"/>
            <w:shd w:fill="F2F4F5"/>
            <w:tcMar>
              <w:top w:w="90" w:type="dxa"/>
              <w:start w:w="110" w:type="dxa"/>
              <w:bottom w:w="90" w:type="dxa"/>
              <w:end w:w="110" w:type="dxa"/>
            </w:tcMar>
          </w:tcPr>
          <w:p>
            <w:pPr>
              <w:jc w:val="center"/>
              <w:bidi w:val="1"/>
            </w:pPr>
            <w:r>
              <w:rPr>
                <w:rFonts w:ascii="Arial" w:hAnsi="Arial" w:cs="Arial"/>
                <w:sz w:val="17"/>
              </w:rPr>
              <w:t>4</w:t>
            </w:r>
          </w:p>
        </w:tc>
        <w:tc>
          <w:tcPr>
            <w:tcW w:type="dxa" w:w="2100"/>
            <w:shd w:fill="F2F4F5"/>
            <w:tcMar>
              <w:top w:w="90" w:type="dxa"/>
              <w:start w:w="110" w:type="dxa"/>
              <w:bottom w:w="90" w:type="dxa"/>
              <w:end w:w="110" w:type="dxa"/>
            </w:tcMar>
          </w:tcPr>
          <w:p>
            <w:pPr>
              <w:jc w:val="center"/>
              <w:bidi w:val="1"/>
            </w:pPr>
            <w:r>
              <w:rPr>
                <w:rFonts w:ascii="Arial" w:hAnsi="Arial" w:cs="Arial"/>
                <w:sz w:val="17"/>
              </w:rPr>
              <w:t>القرار النظامي</w:t>
            </w:r>
          </w:p>
        </w:tc>
        <w:tc>
          <w:tcPr>
            <w:tcW w:type="dxa" w:w="5500"/>
            <w:shd w:fill="F2F4F5"/>
            <w:tcMar>
              <w:top w:w="90" w:type="dxa"/>
              <w:start w:w="110" w:type="dxa"/>
              <w:bottom w:w="90" w:type="dxa"/>
              <w:end w:w="110" w:type="dxa"/>
            </w:tcMar>
          </w:tcPr>
          <w:p>
            <w:pPr>
              <w:jc w:val="right"/>
              <w:bidi w:val="1"/>
            </w:pPr>
            <w:r>
              <w:rPr>
                <w:rFonts w:ascii="Arial" w:hAnsi="Arial" w:cs="Arial"/>
                <w:sz w:val="17"/>
              </w:rPr>
              <w:t>عند قيام أسباب معقولة للاشتباه، إعداد تقرير مفصل واستكمال الإبلاغ فورًا وبشكل مباشر إلى الإدارة العامة للتحريات المالية عبر القنوات المعتمدة.</w:t>
            </w:r>
          </w:p>
        </w:tc>
      </w:tr>
      <w:tr>
        <w:trPr>
          <w:cantSplit/>
        </w:trPr>
        <w:tc>
          <w:tcPr>
            <w:tcW w:type="dxa" w:w="900"/>
            <w:tcMar>
              <w:top w:w="90" w:type="dxa"/>
              <w:start w:w="110" w:type="dxa"/>
              <w:bottom w:w="90" w:type="dxa"/>
              <w:end w:w="110" w:type="dxa"/>
            </w:tcMar>
          </w:tcPr>
          <w:p>
            <w:pPr>
              <w:jc w:val="center"/>
              <w:bidi w:val="1"/>
            </w:pPr>
            <w:r>
              <w:rPr>
                <w:rFonts w:ascii="Arial" w:hAnsi="Arial" w:cs="Arial"/>
                <w:sz w:val="17"/>
              </w:rPr>
              <w:t>5</w:t>
            </w:r>
          </w:p>
        </w:tc>
        <w:tc>
          <w:tcPr>
            <w:tcW w:type="dxa" w:w="2100"/>
            <w:tcMar>
              <w:top w:w="90" w:type="dxa"/>
              <w:start w:w="110" w:type="dxa"/>
              <w:bottom w:w="90" w:type="dxa"/>
              <w:end w:w="110" w:type="dxa"/>
            </w:tcMar>
          </w:tcPr>
          <w:p>
            <w:pPr>
              <w:jc w:val="center"/>
              <w:bidi w:val="1"/>
            </w:pPr>
            <w:r>
              <w:rPr>
                <w:rFonts w:ascii="Arial" w:hAnsi="Arial" w:cs="Arial"/>
                <w:sz w:val="17"/>
              </w:rPr>
              <w:t>المتابعة</w:t>
            </w:r>
          </w:p>
        </w:tc>
        <w:tc>
          <w:tcPr>
            <w:tcW w:type="dxa" w:w="5500"/>
            <w:tcMar>
              <w:top w:w="90" w:type="dxa"/>
              <w:start w:w="110" w:type="dxa"/>
              <w:bottom w:w="90" w:type="dxa"/>
              <w:end w:w="110" w:type="dxa"/>
            </w:tcMar>
          </w:tcPr>
          <w:p>
            <w:pPr>
              <w:jc w:val="right"/>
              <w:bidi w:val="1"/>
            </w:pPr>
            <w:r>
              <w:rPr>
                <w:rFonts w:ascii="Arial" w:hAnsi="Arial" w:cs="Arial"/>
                <w:sz w:val="17"/>
              </w:rPr>
              <w:t>الاستجابة للطلبات الرسمية، والمحافظة على السرية، وتحديث الضوابط دون تعطيل أي إجراء نظامي.</w:t>
            </w:r>
          </w:p>
        </w:tc>
      </w:tr>
    </w:tbl>
    <w:p>
      <w:pPr>
        <w:pStyle w:val="Heading1"/>
        <w:jc w:val="right"/>
        <w:keepNext/>
        <w:bidi w:val="1"/>
      </w:pPr>
      <w:r>
        <w:rPr>
          <w:rFonts w:ascii="Arial" w:hAnsi="Arial" w:cs="Arial"/>
        </w:rPr>
        <w:t>14. عدم التنبيه والسرية</w:t>
      </w:r>
    </w:p>
    <w:p>
      <w:pPr>
        <w:spacing w:after="80"/>
        <w:jc w:val="right"/>
        <w:bidi w:val="1"/>
      </w:pPr>
      <w:r>
        <w:rPr>
          <w:rFonts w:ascii="Arial" w:hAnsi="Arial" w:cs="Arial"/>
          <w:b w:val="0"/>
        </w:rPr>
        <w:t>يحظر إبلاغ الطرف محل الاشتباه أو أي شخص غير مخول بوجود بلاغ أو فحص أو طلب معلومات أو إجراء متعلق به. ويقتصر تداول المعلومات على من تستلزم مهامه الاطلاع، وتحفظ ملفات الاشتباه منفصلة وبصلاحيات مقيدة.</w:t>
      </w:r>
    </w:p>
    <w:p>
      <w:pPr>
        <w:pStyle w:val="Heading1"/>
        <w:jc w:val="right"/>
        <w:keepNext/>
        <w:bidi w:val="1"/>
      </w:pPr>
      <w:r>
        <w:rPr>
          <w:rFonts w:ascii="Arial" w:hAnsi="Arial" w:cs="Arial"/>
        </w:rPr>
        <w:t>15. حفظ السجلات</w:t>
      </w:r>
    </w:p>
    <w:p>
      <w:pPr>
        <w:pStyle w:val="ListBullet"/>
        <w:spacing w:after="40"/>
        <w:ind w:left="288" w:right="360"/>
        <w:jc w:val="right"/>
        <w:bidi w:val="1"/>
      </w:pPr>
      <w:r>
        <w:rPr>
          <w:rFonts w:ascii="Arial" w:hAnsi="Arial" w:cs="Arial"/>
          <w:sz w:val="20"/>
        </w:rPr>
        <w:t>تحتفظ الجمعية في مقرها أو أنظمتها المعتمدة بالسجلات والمستندات المالية وملفات الحسابات والمراسلات المالية وصور وثائق الهوية للفئات التي يتطلب النظام التحقق منها لمدة لا تقل عن 10 سنوات من انتهاء التعامل.</w:t>
      </w:r>
    </w:p>
    <w:p>
      <w:pPr>
        <w:pStyle w:val="ListBullet"/>
        <w:spacing w:after="40"/>
        <w:ind w:left="288" w:right="360"/>
        <w:jc w:val="right"/>
        <w:bidi w:val="1"/>
      </w:pPr>
      <w:r>
        <w:rPr>
          <w:rFonts w:ascii="Arial" w:hAnsi="Arial" w:cs="Arial"/>
          <w:sz w:val="20"/>
        </w:rPr>
        <w:t>تشمل السجلات نتائج تقييم المخاطر والعناية الواجبة والفحص الداخلي والبلاغات والمراسلات النظامية والتدريب والتدقيق.</w:t>
      </w:r>
    </w:p>
    <w:p>
      <w:pPr>
        <w:pStyle w:val="ListBullet"/>
        <w:spacing w:after="40"/>
        <w:ind w:left="288" w:right="360"/>
        <w:jc w:val="right"/>
        <w:bidi w:val="1"/>
      </w:pPr>
      <w:r>
        <w:rPr>
          <w:rFonts w:ascii="Arial" w:hAnsi="Arial" w:cs="Arial"/>
          <w:sz w:val="20"/>
        </w:rPr>
        <w:t>تكون السجلات كافية لإعادة بناء المعاملة وفهم القرار، وقابلة للاسترجاع عند طلب الجهة المختصة.</w:t>
      </w:r>
    </w:p>
    <w:p>
      <w:pPr>
        <w:pStyle w:val="ListBullet"/>
        <w:spacing w:after="40"/>
        <w:ind w:left="288" w:right="360"/>
        <w:jc w:val="right"/>
        <w:bidi w:val="1"/>
      </w:pPr>
      <w:r>
        <w:rPr>
          <w:rFonts w:ascii="Arial" w:hAnsi="Arial" w:cs="Arial"/>
          <w:sz w:val="20"/>
        </w:rPr>
        <w:t>يعلق الإتلاف عند وجود تحقيق أو طلب رسمي أو نزاع، وتطبق سياسة حفظ السجلات المعتمدة فيما لم يرد به نص خاص.</w:t>
      </w:r>
    </w:p>
    <w:p>
      <w:pPr>
        <w:pStyle w:val="Heading1"/>
        <w:jc w:val="right"/>
        <w:keepNext/>
        <w:bidi w:val="1"/>
      </w:pPr>
      <w:r>
        <w:rPr>
          <w:rFonts w:ascii="Arial" w:hAnsi="Arial" w:cs="Arial"/>
        </w:rPr>
        <w:t>16. التدريب والتوعية</w:t>
      </w:r>
    </w:p>
    <w:p>
      <w:pPr>
        <w:spacing w:after="80"/>
        <w:jc w:val="right"/>
        <w:bidi w:val="1"/>
      </w:pPr>
      <w:r>
        <w:rPr>
          <w:rFonts w:ascii="Arial" w:hAnsi="Arial" w:cs="Arial"/>
          <w:b w:val="0"/>
        </w:rPr>
        <w:t>يقدم تدريب عند الانضمام ودوريًا بحسب الدور والمخاطر، ويغطي المؤشرات ومسار التصعيد والسرية وعدم التنبيه. ويُوثق الحضور والمواد ونتائج التقييم وخطط التحسين.</w:t>
      </w:r>
    </w:p>
    <w:p>
      <w:pPr>
        <w:pStyle w:val="Heading1"/>
        <w:jc w:val="right"/>
        <w:keepNext/>
        <w:bidi w:val="1"/>
      </w:pPr>
      <w:r>
        <w:rPr>
          <w:rFonts w:ascii="Arial" w:hAnsi="Arial" w:cs="Arial"/>
        </w:rPr>
        <w:t>17. التدقيق والمراجعة والاختبار</w:t>
      </w:r>
    </w:p>
    <w:p>
      <w:pPr>
        <w:spacing w:after="80"/>
        <w:jc w:val="right"/>
        <w:bidi w:val="1"/>
      </w:pPr>
      <w:r>
        <w:rPr>
          <w:rFonts w:ascii="Arial" w:hAnsi="Arial" w:cs="Arial"/>
          <w:b w:val="0"/>
        </w:rPr>
        <w:t>تُجرى مراجعة مستقلة دورية لفعالية تقييم المخاطر والعناية الواجبة والمراقبة والتصعيد والحفظ والتدريب، ويرفع المكلف أو الجهة المستقلة النتائج وخطة المعالجة إلى مجلس الإدارة. ولا يراجع الشخص عملًا نفذه بنفسه متى تعارض ذلك مع الاستقلالية.</w:t>
      </w:r>
    </w:p>
    <w:p>
      <w:pPr>
        <w:pStyle w:val="Heading1"/>
        <w:jc w:val="right"/>
        <w:keepNext/>
        <w:bidi w:val="1"/>
      </w:pPr>
      <w:r>
        <w:rPr>
          <w:rFonts w:ascii="Arial" w:hAnsi="Arial" w:cs="Arial"/>
        </w:rPr>
        <w:t>18. المخالفات</w:t>
      </w:r>
    </w:p>
    <w:p>
      <w:pPr>
        <w:spacing w:after="80"/>
        <w:jc w:val="right"/>
        <w:bidi w:val="1"/>
      </w:pPr>
      <w:r>
        <w:rPr>
          <w:rFonts w:ascii="Arial" w:hAnsi="Arial" w:cs="Arial"/>
          <w:b w:val="0"/>
        </w:rPr>
        <w:t>يعد تجاوز الضوابط أو إخفاء المعلومات أو تعطيل التصعيد أو تنبيه الطرف أو إفشاء بيانات البلاغ مخالفة جسيمة، وتتخذ الجمعية الإجراءات النظامية والإدارية المناسبة دون إخلال بإبلاغ الجهات المختصة عند اللزوم.</w:t>
      </w:r>
    </w:p>
    <w:p>
      <w:pPr>
        <w:pStyle w:val="Heading1"/>
        <w:jc w:val="right"/>
        <w:keepNext/>
        <w:bidi w:val="1"/>
      </w:pPr>
      <w:r>
        <w:rPr>
          <w:rFonts w:ascii="Arial" w:hAnsi="Arial" w:cs="Arial"/>
        </w:rPr>
        <w:t>19. المراجعة والنفاذ</w:t>
      </w:r>
    </w:p>
    <w:p>
      <w:pPr>
        <w:spacing w:after="80"/>
        <w:jc w:val="right"/>
        <w:bidi w:val="1"/>
      </w:pPr>
      <w:r>
        <w:rPr>
          <w:rFonts w:ascii="Arial" w:hAnsi="Arial" w:cs="Arial"/>
          <w:b w:val="0"/>
        </w:rPr>
        <w:t>تراجع الإجراءات سنويًا وعند تغير المخاطر أو الأنظمة أو القنوات أو الأنشطة. وتصبح نافذة من التاريخ المحدد في قرار الاعتماد، وتلغي ما يتعارض معها من إجراءات داخلية سابقة في نطاقها.</w:t>
      </w:r>
    </w:p>
    <w:p>
      <w:pPr>
        <w:pStyle w:val="Heading1"/>
        <w:jc w:val="right"/>
        <w:keepNext/>
        <w:bidi w:val="1"/>
      </w:pPr>
      <w:r>
        <w:rPr>
          <w:rFonts w:ascii="Arial" w:hAnsi="Arial" w:cs="Arial"/>
        </w:rPr>
        <w:t>20. النماذج والسجلات المرتبطة</w:t>
      </w:r>
    </w:p>
    <w:p>
      <w:pPr>
        <w:pStyle w:val="ListBullet"/>
        <w:spacing w:after="40"/>
        <w:ind w:left="288" w:right="360"/>
        <w:jc w:val="right"/>
        <w:bidi w:val="1"/>
      </w:pPr>
      <w:r>
        <w:rPr>
          <w:rFonts w:ascii="Arial" w:hAnsi="Arial" w:cs="Arial"/>
          <w:sz w:val="20"/>
        </w:rPr>
        <w:t>تقييم مخاطر غسل الأموال وتمويل الإرهاب.</w:t>
      </w:r>
    </w:p>
    <w:p>
      <w:pPr>
        <w:pStyle w:val="ListBullet"/>
        <w:spacing w:after="40"/>
        <w:ind w:left="288" w:right="360"/>
        <w:jc w:val="right"/>
        <w:bidi w:val="1"/>
      </w:pPr>
      <w:r>
        <w:rPr>
          <w:rFonts w:ascii="Arial" w:hAnsi="Arial" w:cs="Arial"/>
          <w:sz w:val="20"/>
        </w:rPr>
        <w:t>نموذج العناية الواجبة وتصنيف المخاطر.</w:t>
      </w:r>
    </w:p>
    <w:p>
      <w:pPr>
        <w:pStyle w:val="ListBullet"/>
        <w:spacing w:after="40"/>
        <w:ind w:left="288" w:right="360"/>
        <w:jc w:val="right"/>
        <w:bidi w:val="1"/>
      </w:pPr>
      <w:r>
        <w:rPr>
          <w:rFonts w:ascii="Arial" w:hAnsi="Arial" w:cs="Arial"/>
          <w:sz w:val="20"/>
        </w:rPr>
        <w:t>نموذج بلاغ اشتباه داخلي سري.</w:t>
      </w:r>
    </w:p>
    <w:p>
      <w:pPr>
        <w:pStyle w:val="ListBullet"/>
        <w:spacing w:after="40"/>
        <w:ind w:left="288" w:right="360"/>
        <w:jc w:val="right"/>
        <w:bidi w:val="1"/>
      </w:pPr>
      <w:r>
        <w:rPr>
          <w:rFonts w:ascii="Arial" w:hAnsi="Arial" w:cs="Arial"/>
          <w:sz w:val="20"/>
        </w:rPr>
        <w:t>سجل حالات الفحص والتصعيد.</w:t>
      </w:r>
    </w:p>
    <w:p>
      <w:pPr>
        <w:pStyle w:val="ListBullet"/>
        <w:spacing w:after="40"/>
        <w:ind w:left="288" w:right="360"/>
        <w:jc w:val="right"/>
        <w:bidi w:val="1"/>
      </w:pPr>
      <w:r>
        <w:rPr>
          <w:rFonts w:ascii="Arial" w:hAnsi="Arial" w:cs="Arial"/>
          <w:sz w:val="20"/>
        </w:rPr>
        <w:t>سجل التدريب والاختبارات.</w:t>
      </w:r>
    </w:p>
    <w:p>
      <w:pPr>
        <w:pStyle w:val="ListBullet"/>
        <w:spacing w:after="40"/>
        <w:ind w:left="288" w:right="360"/>
        <w:jc w:val="right"/>
        <w:bidi w:val="1"/>
      </w:pPr>
      <w:r>
        <w:rPr>
          <w:rFonts w:ascii="Arial" w:hAnsi="Arial" w:cs="Arial"/>
          <w:sz w:val="20"/>
        </w:rPr>
        <w:t>قرار تكليف مسؤول أو جهة التدقيق والمراجعة والالتزام.</w:t>
      </w:r>
    </w:p>
    <w:p>
      <w:pPr>
        <w:pStyle w:val="Heading1"/>
        <w:jc w:val="right"/>
        <w:keepNext/>
        <w:bidi w:val="1"/>
      </w:pPr>
      <w:r>
        <w:rPr>
          <w:rFonts w:ascii="Arial" w:hAnsi="Arial" w:cs="Arial"/>
        </w:rPr>
        <w:t>21. المرجعيات</w:t>
      </w:r>
    </w:p>
    <w:p>
      <w:pPr>
        <w:spacing w:after="80"/>
        <w:jc w:val="right"/>
        <w:bidi w:val="1"/>
      </w:pPr>
      <w:r>
        <w:rPr>
          <w:rFonts w:ascii="Arial" w:hAnsi="Arial" w:cs="Arial"/>
          <w:b w:val="0"/>
        </w:rPr>
        <w:t>نظام مكافحة غسل الأموال ولائحته التنفيذية، ونظام مكافحة جرائم الإرهاب وتمويله ولائحته التنفيذية، واللائحة التنفيذية لنظام الجمعيات والمؤسسات الأهلية، وقواعد حوكمة الجمعيات والمؤسسات الأهلية، والتعليمات والأدلة الرسمية ذات العلاقة.</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0"/>
        </w:rPr>
        <w:t>إجراءات الوقاية من غسل الأموال وتمويل الإرهاب</w:t>
      </w:r>
    </w:p>
    <w:p>
      <w:pPr>
        <w:spacing w:after="320"/>
        <w:jc w:val="center"/>
        <w:bidi w:val="1"/>
      </w:pPr>
      <w:r>
        <w:rPr>
          <w:rFonts w:ascii="Arial" w:hAnsi="Arial" w:cs="Arial"/>
          <w:b w:val="0"/>
        </w:rPr>
        <w:t>اعتمد مجلس إدارة جمعية البلسم للتدريب والتطوير الصحي هذه الإجراءات، ويبدأ العمل بها من تاريخ النفاذ المحدد أدناه، وتحل محل النسخ السابقة في نطاقها.</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رقم قرار مجلس الإدارة</w:t>
            </w:r>
          </w:p>
        </w:tc>
        <w:tc>
          <w:tcPr>
            <w:tcW w:type="dxa" w:w="5800"/>
            <w:tcMar>
              <w:top w:w="90" w:type="dxa"/>
              <w:start w:w="110" w:type="dxa"/>
              <w:bottom w:w="90" w:type="dxa"/>
              <w:end w:w="110" w:type="dxa"/>
            </w:tcMar>
          </w:tcPr>
          <w:p>
            <w:pPr>
              <w:spacing w:before="80" w:after="80"/>
              <w:jc w:val="center"/>
              <w:bidi w:val="1"/>
            </w:pPr>
            <w:r>
              <w:rPr>
                <w:rFonts w:ascii="Arial" w:hAnsi="Arial" w:cs="Arial"/>
              </w:rPr>
              <w:t>........................................................</w:t>
            </w:r>
          </w:p>
        </w:tc>
      </w:tr>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تاريخ القرار</w:t>
            </w:r>
          </w:p>
        </w:tc>
        <w:tc>
          <w:tcPr>
            <w:tcW w:type="dxa" w:w="5800"/>
            <w:tcMar>
              <w:top w:w="90" w:type="dxa"/>
              <w:start w:w="110" w:type="dxa"/>
              <w:bottom w:w="90" w:type="dxa"/>
              <w:end w:w="110" w:type="dxa"/>
            </w:tcMar>
          </w:tcPr>
          <w:p>
            <w:pPr>
              <w:spacing w:before="80" w:after="80"/>
              <w:jc w:val="center"/>
              <w:bidi w:val="1"/>
            </w:pPr>
            <w:r>
              <w:rPr>
                <w:rFonts w:ascii="Arial" w:hAnsi="Arial" w:cs="Arial"/>
              </w:rPr>
              <w:t>........ / ........ / ........ هـ   الموافق   ........ / ........ / ........ م</w:t>
            </w:r>
          </w:p>
        </w:tc>
      </w:tr>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رقم الإصدار</w:t>
            </w:r>
          </w:p>
        </w:tc>
        <w:tc>
          <w:tcPr>
            <w:tcW w:type="dxa" w:w="5800"/>
            <w:tcMar>
              <w:top w:w="90" w:type="dxa"/>
              <w:start w:w="110" w:type="dxa"/>
              <w:bottom w:w="90" w:type="dxa"/>
              <w:end w:w="110" w:type="dxa"/>
            </w:tcMar>
          </w:tcPr>
          <w:p>
            <w:pPr>
              <w:spacing w:before="80" w:after="80"/>
              <w:jc w:val="center"/>
              <w:bidi w:val="1"/>
            </w:pPr>
            <w:r>
              <w:rPr>
                <w:rFonts w:ascii="Arial" w:hAnsi="Arial" w:cs="Arial"/>
              </w:rPr>
              <w:t>........................................................</w:t>
            </w:r>
          </w:p>
        </w:tc>
      </w:tr>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تاريخ النفاذ</w:t>
            </w:r>
          </w:p>
        </w:tc>
        <w:tc>
          <w:tcPr>
            <w:tcW w:type="dxa" w:w="5800"/>
            <w:tcMar>
              <w:top w:w="90" w:type="dxa"/>
              <w:start w:w="110" w:type="dxa"/>
              <w:bottom w:w="90" w:type="dxa"/>
              <w:end w:w="110" w:type="dxa"/>
            </w:tcMar>
          </w:tcPr>
          <w:p>
            <w:pPr>
              <w:spacing w:before="80" w:after="80"/>
              <w:jc w:val="center"/>
              <w:bidi w:val="1"/>
            </w:pPr>
            <w:r>
              <w:rPr>
                <w:rFonts w:ascii="Arial" w:hAnsi="Arial" w:cs="Arial"/>
              </w:rPr>
              <w:t>........ / ........ / ........ م</w:t>
            </w:r>
          </w:p>
        </w:tc>
      </w:tr>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دورية المراجعة</w:t>
            </w:r>
          </w:p>
        </w:tc>
        <w:tc>
          <w:tcPr>
            <w:tcW w:type="dxa" w:w="5800"/>
            <w:tcMar>
              <w:top w:w="90" w:type="dxa"/>
              <w:start w:w="110" w:type="dxa"/>
              <w:bottom w:w="90" w:type="dxa"/>
              <w:end w:w="110" w:type="dxa"/>
            </w:tcMar>
          </w:tcPr>
          <w:p>
            <w:pPr>
              <w:spacing w:before="80" w:after="80"/>
              <w:jc w:val="center"/>
              <w:bidi w:val="1"/>
            </w:pPr>
            <w:r>
              <w:rPr>
                <w:rFonts w:ascii="Arial" w:hAnsi="Arial" w:cs="Arial"/>
              </w:rPr>
              <w:t>سنويًا أو عند تغير المخاطر أو المتطلبات</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r>
        <w:br w:type="page"/>
      </w:r>
    </w:p>
    <w:p>
      <w:pPr>
        <w:pStyle w:val="Heading1"/>
        <w:jc w:val="right"/>
        <w:keepNext/>
        <w:bidi/>
      </w:pPr>
      <w:r>
        <w:rPr>
          <w:rFonts w:ascii="Arial" w:hAnsi="Arial" w:cs="Arial"/>
          <w:b/>
          <w:color w:val="124D67"/>
          <w:sz w:val="32"/>
        </w:rPr>
        <w:t>المسميات والنماذج التشغيلية المرتبطة</w:t>
      </w:r>
    </w:p>
    <w:p>
      <w:pPr>
        <w:spacing w:after="100" w:line="276" w:lineRule="auto"/>
        <w:jc w:val="both"/>
        <w:bidi/>
      </w:pPr>
      <w:r>
        <w:rPr>
          <w:rFonts w:ascii="Arial" w:hAnsi="Arial" w:cs="Arial"/>
          <w:b/>
          <w:color w:val="20A98B"/>
          <w:sz w:val="22"/>
        </w:rPr>
        <w:t>توحيد المسميات والإحالات التشغيلية.</w:t>
      </w:r>
    </w:p>
    <w:p>
      <w:pPr>
        <w:pStyle w:val="ListBullet"/>
        <w:spacing w:after="60"/>
        <w:jc w:val="right"/>
        <w:bidi/>
      </w:pPr>
      <w:r>
        <w:rPr>
          <w:rFonts w:ascii="Arial" w:hAnsi="Arial" w:cs="Arial"/>
          <w:b w:val="0"/>
          <w:color w:val="173642"/>
          <w:sz w:val="20"/>
        </w:rPr>
        <w:t>تسند أعمال الالتزام داخل الهيكل إلى إدارة الحوكمة والامتثال، ويجوز التكليف الخارجي وفق قرار مجلس الإدارة دون إنشاء مسمى جديد.</w:t>
      </w:r>
    </w:p>
    <w:p>
      <w:pPr>
        <w:pStyle w:val="ListBullet"/>
        <w:spacing w:after="60"/>
        <w:jc w:val="right"/>
        <w:bidi/>
      </w:pPr>
      <w:r>
        <w:rPr>
          <w:rFonts w:ascii="Arial" w:hAnsi="Arial" w:cs="Arial"/>
          <w:b w:val="0"/>
          <w:color w:val="173642"/>
          <w:sz w:val="20"/>
        </w:rPr>
        <w:t>المسميات التشغيلية المرجعية: مجلس الإدارة، الرئيس التنفيذي، إدارة الحوكمة والامتثال، إدارة الخدمات المساندة، الوحدة المالية، وحدة المشتريات والعقود، وتنمية الموارد والشراكات.</w:t>
      </w:r>
    </w:p>
    <w:p>
      <w:r>
        <w:br w:type="page"/>
      </w:r>
    </w:p>
    <w:p>
      <w:pPr>
        <w:jc w:val="center"/>
        <w:bidi w:val="1"/>
      </w:pPr>
      <w:r>
        <w:rPr>
          <w:rFonts w:ascii="Arial" w:hAnsi="Arial" w:cs="Arial"/>
          <w:b/>
          <w:color w:val="1F4E78"/>
          <w:sz w:val="34"/>
        </w:rPr>
        <w:t>ملحق النماذج والسجلات</w:t>
      </w:r>
    </w:p>
    <w:p>
      <w:r>
        <w:br w:type="page"/>
      </w:r>
    </w:p>
    <w:p>
      <w:pPr>
        <w:spacing w:after="180"/>
        <w:jc w:val="center"/>
        <w:bidi w:val="1"/>
      </w:pPr>
      <w:r>
        <w:rPr>
          <w:rFonts w:ascii="Arial" w:hAnsi="Arial" w:cs="Arial"/>
          <w:b/>
          <w:color w:val="1F4E78"/>
          <w:sz w:val="30"/>
        </w:rPr>
        <w:t>AML-F03 — نموذج العناية الواجبة وتصنيف المخاطر</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اسم الطرف وصفته</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الهوية/السجل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الغرض من العلاقة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المستفيد الحقيقي</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مصدر الأموال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الدولة والقناة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نتيجة الفحص</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درجة المخاطر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إجراءات العناية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الاعتماد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AML-F01 — نموذج بلاغ اشتباه داخلي سري</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البلاغ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ووقت الرصد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القناة أو العملية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الأطراف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القيمة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وصف المؤشرات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المستندات المتاحة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إجراء الحماية الفوري</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المبلّغ/الصفة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AML-R01 — سجل حالات الاشتباه</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الحالة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الاستلام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تصنيف أولي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المكلف بالفحص</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إجراءات التحقق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التصعيد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القرار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حالة الملف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AML-F02 — تقرير تحليل الاشتباه والقرار</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الحالة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الوقائع والمؤشرات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المعلومات والتحقق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تحليل المخاطر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النتيجة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القرار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الإبلاغ النظامي عند الانطباق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المعتمد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AML-R02 — سجل صلاحيات الوصول لملفات الاشتباه</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المستخدم/الصفة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نوع الصلاحية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نطاق الملفات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المنح</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صاحب الاعتماد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الإلغاء</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مراجعة دورية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إجراءات الوقاية من غسل الأموال وتمويل الإرهاب</dc:title>
  <dc:subject>إجراءات الجمعية</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